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0EFDAE">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调研设备需求</w:t>
      </w:r>
    </w:p>
    <w:p w14:paraId="373E1394">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sz w:val="32"/>
          <w:szCs w:val="32"/>
          <w:lang w:val="en-US" w:eastAsia="zh-CN"/>
        </w:rPr>
      </w:pPr>
      <w:r>
        <w:rPr>
          <w:rFonts w:hint="eastAsia" w:ascii="黑体" w:hAnsi="黑体" w:eastAsia="黑体"/>
          <w:sz w:val="32"/>
          <w:szCs w:val="32"/>
          <w:lang w:val="en-US" w:eastAsia="zh-CN"/>
        </w:rPr>
        <w:t>一、设备名称、数量</w:t>
      </w:r>
    </w:p>
    <w:tbl>
      <w:tblPr>
        <w:tblStyle w:val="3"/>
        <w:tblW w:w="892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1"/>
        <w:gridCol w:w="2433"/>
        <w:gridCol w:w="1675"/>
        <w:gridCol w:w="1648"/>
        <w:gridCol w:w="1629"/>
      </w:tblGrid>
      <w:tr w14:paraId="32608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1541" w:type="dxa"/>
          </w:tcPr>
          <w:p w14:paraId="48DE2AFC">
            <w:pPr>
              <w:keepNext w:val="0"/>
              <w:keepLines w:val="0"/>
              <w:pageBreakBefore w:val="0"/>
              <w:kinsoku/>
              <w:wordWrap/>
              <w:overflowPunct/>
              <w:topLinePunct w:val="0"/>
              <w:autoSpaceDE/>
              <w:autoSpaceDN/>
              <w:bidi w:val="0"/>
              <w:adjustRightInd/>
              <w:snapToGrid/>
              <w:spacing w:line="560" w:lineRule="exact"/>
              <w:jc w:val="center"/>
              <w:textAlignment w:val="auto"/>
              <w:rPr>
                <w:rFonts w:ascii="仿宋_GB2312" w:eastAsia="仿宋_GB2312"/>
                <w:color w:val="333333"/>
                <w:sz w:val="28"/>
                <w:szCs w:val="28"/>
                <w:shd w:val="clear" w:color="auto" w:fill="FFFFFF"/>
              </w:rPr>
            </w:pPr>
            <w:r>
              <w:rPr>
                <w:rFonts w:hint="eastAsia" w:ascii="仿宋_GB2312" w:eastAsia="仿宋_GB2312"/>
                <w:color w:val="333333"/>
                <w:sz w:val="28"/>
                <w:szCs w:val="28"/>
                <w:shd w:val="clear" w:color="auto" w:fill="FFFFFF"/>
              </w:rPr>
              <w:t>序号</w:t>
            </w:r>
          </w:p>
        </w:tc>
        <w:tc>
          <w:tcPr>
            <w:tcW w:w="2433" w:type="dxa"/>
          </w:tcPr>
          <w:p w14:paraId="26E60A50">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_GB2312" w:eastAsia="仿宋_GB2312"/>
                <w:color w:val="333333"/>
                <w:sz w:val="28"/>
                <w:szCs w:val="28"/>
                <w:shd w:val="clear" w:color="auto" w:fill="FFFFFF"/>
                <w:lang w:eastAsia="zh-CN"/>
              </w:rPr>
            </w:pPr>
            <w:r>
              <w:rPr>
                <w:rFonts w:hint="eastAsia" w:ascii="仿宋_GB2312" w:eastAsia="仿宋_GB2312"/>
                <w:color w:val="333333"/>
                <w:sz w:val="28"/>
                <w:szCs w:val="28"/>
                <w:shd w:val="clear" w:color="auto" w:fill="FFFFFF"/>
                <w:lang w:eastAsia="zh-CN"/>
              </w:rPr>
              <w:t>采购设备</w:t>
            </w:r>
            <w:r>
              <w:rPr>
                <w:rFonts w:hint="eastAsia" w:ascii="仿宋_GB2312" w:eastAsia="仿宋_GB2312"/>
                <w:color w:val="333333"/>
                <w:sz w:val="28"/>
                <w:szCs w:val="28"/>
                <w:shd w:val="clear" w:color="auto" w:fill="FFFFFF"/>
              </w:rPr>
              <w:t>名</w:t>
            </w:r>
            <w:r>
              <w:rPr>
                <w:rFonts w:hint="eastAsia" w:ascii="仿宋_GB2312" w:eastAsia="仿宋_GB2312"/>
                <w:color w:val="333333"/>
                <w:sz w:val="28"/>
                <w:szCs w:val="28"/>
                <w:shd w:val="clear" w:color="auto" w:fill="FFFFFF"/>
                <w:lang w:eastAsia="zh-CN"/>
              </w:rPr>
              <w:t>称</w:t>
            </w:r>
          </w:p>
        </w:tc>
        <w:tc>
          <w:tcPr>
            <w:tcW w:w="1675" w:type="dxa"/>
          </w:tcPr>
          <w:p w14:paraId="24AC62AA">
            <w:pPr>
              <w:keepNext w:val="0"/>
              <w:keepLines w:val="0"/>
              <w:pageBreakBefore w:val="0"/>
              <w:kinsoku/>
              <w:wordWrap/>
              <w:overflowPunct/>
              <w:topLinePunct w:val="0"/>
              <w:autoSpaceDE/>
              <w:autoSpaceDN/>
              <w:bidi w:val="0"/>
              <w:adjustRightInd/>
              <w:snapToGrid/>
              <w:spacing w:line="560" w:lineRule="exact"/>
              <w:jc w:val="center"/>
              <w:textAlignment w:val="auto"/>
              <w:rPr>
                <w:rFonts w:ascii="仿宋_GB2312" w:eastAsia="仿宋_GB2312"/>
                <w:color w:val="333333"/>
                <w:sz w:val="28"/>
                <w:szCs w:val="28"/>
                <w:shd w:val="clear" w:color="auto" w:fill="FFFFFF"/>
              </w:rPr>
            </w:pPr>
            <w:r>
              <w:rPr>
                <w:rFonts w:hint="eastAsia" w:ascii="仿宋_GB2312" w:eastAsia="仿宋_GB2312"/>
                <w:color w:val="333333"/>
                <w:sz w:val="28"/>
                <w:szCs w:val="28"/>
                <w:shd w:val="clear" w:color="auto" w:fill="FFFFFF"/>
              </w:rPr>
              <w:t>数量</w:t>
            </w:r>
          </w:p>
        </w:tc>
        <w:tc>
          <w:tcPr>
            <w:tcW w:w="1648" w:type="dxa"/>
          </w:tcPr>
          <w:p w14:paraId="196F1C96">
            <w:pPr>
              <w:keepNext w:val="0"/>
              <w:keepLines w:val="0"/>
              <w:pageBreakBefore w:val="0"/>
              <w:widowControl/>
              <w:shd w:val="clear" w:color="auto" w:fill="FFFFFF"/>
              <w:kinsoku/>
              <w:wordWrap/>
              <w:overflowPunct/>
              <w:topLinePunct w:val="0"/>
              <w:autoSpaceDE/>
              <w:autoSpaceDN/>
              <w:bidi w:val="0"/>
              <w:adjustRightInd/>
              <w:snapToGrid/>
              <w:spacing w:line="560" w:lineRule="exact"/>
              <w:jc w:val="center"/>
              <w:textAlignment w:val="auto"/>
              <w:rPr>
                <w:rFonts w:ascii="仿宋_GB2312" w:eastAsia="仿宋_GB2312"/>
                <w:color w:val="333333"/>
                <w:sz w:val="28"/>
                <w:szCs w:val="28"/>
                <w:shd w:val="clear" w:color="auto" w:fill="FFFFFF"/>
              </w:rPr>
            </w:pPr>
            <w:r>
              <w:rPr>
                <w:rFonts w:hint="eastAsia" w:ascii="仿宋_GB2312" w:eastAsia="仿宋_GB2312"/>
                <w:color w:val="333333"/>
                <w:sz w:val="28"/>
                <w:szCs w:val="28"/>
                <w:shd w:val="clear" w:color="auto" w:fill="FFFFFF"/>
                <w:lang w:eastAsia="zh-CN"/>
              </w:rPr>
              <w:t>总</w:t>
            </w:r>
            <w:r>
              <w:rPr>
                <w:rFonts w:hint="eastAsia" w:ascii="仿宋_GB2312" w:eastAsia="仿宋_GB2312"/>
                <w:color w:val="333333"/>
                <w:sz w:val="28"/>
                <w:szCs w:val="28"/>
                <w:shd w:val="clear" w:color="auto" w:fill="FFFFFF"/>
              </w:rPr>
              <w:t>预算</w:t>
            </w:r>
            <w:r>
              <w:rPr>
                <w:rFonts w:hint="eastAsia" w:ascii="仿宋_GB2312" w:eastAsia="仿宋_GB2312"/>
                <w:color w:val="333333"/>
                <w:sz w:val="28"/>
                <w:szCs w:val="28"/>
                <w:shd w:val="clear" w:color="auto" w:fill="FFFFFF"/>
                <w:lang w:eastAsia="zh-CN"/>
              </w:rPr>
              <w:t>（</w:t>
            </w:r>
            <w:r>
              <w:rPr>
                <w:rFonts w:hint="eastAsia" w:ascii="仿宋_GB2312" w:eastAsia="仿宋_GB2312"/>
                <w:color w:val="333333"/>
                <w:sz w:val="28"/>
                <w:szCs w:val="28"/>
                <w:shd w:val="clear" w:color="auto" w:fill="FFFFFF"/>
              </w:rPr>
              <w:t>单位：万元</w:t>
            </w:r>
            <w:r>
              <w:rPr>
                <w:rFonts w:hint="eastAsia" w:ascii="仿宋_GB2312" w:eastAsia="仿宋_GB2312"/>
                <w:color w:val="333333"/>
                <w:sz w:val="28"/>
                <w:szCs w:val="28"/>
                <w:shd w:val="clear" w:color="auto" w:fill="FFFFFF"/>
                <w:lang w:eastAsia="zh-CN"/>
              </w:rPr>
              <w:t>）</w:t>
            </w:r>
          </w:p>
        </w:tc>
        <w:tc>
          <w:tcPr>
            <w:tcW w:w="1629" w:type="dxa"/>
          </w:tcPr>
          <w:p w14:paraId="5A5B8DFF">
            <w:pPr>
              <w:keepNext w:val="0"/>
              <w:keepLines w:val="0"/>
              <w:pageBreakBefore w:val="0"/>
              <w:widowControl/>
              <w:shd w:val="clear" w:color="auto" w:fill="FFFFFF"/>
              <w:kinsoku/>
              <w:wordWrap/>
              <w:overflowPunct/>
              <w:topLinePunct w:val="0"/>
              <w:autoSpaceDE/>
              <w:autoSpaceDN/>
              <w:bidi w:val="0"/>
              <w:adjustRightInd/>
              <w:snapToGrid/>
              <w:spacing w:line="560" w:lineRule="exact"/>
              <w:jc w:val="center"/>
              <w:textAlignment w:val="auto"/>
              <w:rPr>
                <w:rFonts w:hint="default" w:ascii="仿宋_GB2312" w:eastAsia="仿宋_GB2312"/>
                <w:color w:val="333333"/>
                <w:sz w:val="28"/>
                <w:szCs w:val="28"/>
                <w:shd w:val="clear" w:color="auto" w:fill="FFFFFF"/>
                <w:lang w:val="en-US" w:eastAsia="zh-CN"/>
              </w:rPr>
            </w:pPr>
            <w:r>
              <w:rPr>
                <w:rFonts w:hint="eastAsia" w:ascii="仿宋_GB2312" w:eastAsia="仿宋_GB2312"/>
                <w:color w:val="333333"/>
                <w:sz w:val="28"/>
                <w:szCs w:val="28"/>
                <w:shd w:val="clear" w:color="auto" w:fill="FFFFFF"/>
                <w:lang w:eastAsia="zh-CN"/>
              </w:rPr>
              <w:t>进口</w:t>
            </w:r>
            <w:r>
              <w:rPr>
                <w:rFonts w:hint="eastAsia" w:ascii="仿宋_GB2312" w:eastAsia="仿宋_GB2312"/>
                <w:color w:val="333333"/>
                <w:sz w:val="28"/>
                <w:szCs w:val="28"/>
                <w:shd w:val="clear" w:color="auto" w:fill="FFFFFF"/>
                <w:lang w:val="en-US" w:eastAsia="zh-CN"/>
              </w:rPr>
              <w:t>/国产</w:t>
            </w:r>
          </w:p>
        </w:tc>
      </w:tr>
      <w:tr w14:paraId="2C1B5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1541" w:type="dxa"/>
            <w:vAlign w:val="top"/>
          </w:tcPr>
          <w:p w14:paraId="0442C0FD">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仿宋_GB2312" w:eastAsia="仿宋_GB2312"/>
                <w:color w:val="FF0000"/>
                <w:sz w:val="28"/>
                <w:szCs w:val="28"/>
                <w:shd w:val="clear" w:color="auto" w:fill="FFFFFF"/>
                <w:lang w:val="en-US" w:eastAsia="zh-CN"/>
              </w:rPr>
            </w:pPr>
            <w:r>
              <w:rPr>
                <w:rFonts w:hint="eastAsia" w:ascii="仿宋_GB2312" w:eastAsia="仿宋_GB2312"/>
                <w:color w:val="FF0000"/>
                <w:sz w:val="28"/>
                <w:szCs w:val="28"/>
                <w:shd w:val="clear" w:color="auto" w:fill="FFFFFF"/>
                <w:lang w:val="en-US" w:eastAsia="zh-CN"/>
              </w:rPr>
              <w:t>1.</w:t>
            </w:r>
          </w:p>
        </w:tc>
        <w:tc>
          <w:tcPr>
            <w:tcW w:w="2433" w:type="dxa"/>
            <w:vAlign w:val="top"/>
          </w:tcPr>
          <w:p w14:paraId="7DDFDDF9">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_GB2312" w:eastAsia="仿宋_GB2312"/>
                <w:color w:val="FF0000"/>
                <w:sz w:val="28"/>
                <w:szCs w:val="28"/>
                <w:shd w:val="clear" w:color="auto" w:fill="FFFFFF"/>
                <w:lang w:val="en-US" w:eastAsia="zh-CN"/>
              </w:rPr>
            </w:pPr>
            <w:r>
              <w:rPr>
                <w:rFonts w:hint="eastAsia" w:ascii="仿宋_GB2312" w:eastAsia="仿宋_GB2312"/>
                <w:color w:val="FF0000"/>
                <w:sz w:val="28"/>
                <w:szCs w:val="28"/>
                <w:shd w:val="clear" w:color="auto" w:fill="FFFFFF"/>
                <w:lang w:val="en-US" w:eastAsia="zh-CN"/>
              </w:rPr>
              <w:t>彩色超声诊断仪</w:t>
            </w:r>
          </w:p>
        </w:tc>
        <w:tc>
          <w:tcPr>
            <w:tcW w:w="1675" w:type="dxa"/>
            <w:vAlign w:val="top"/>
          </w:tcPr>
          <w:p w14:paraId="77A89183">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仿宋_GB2312" w:eastAsia="仿宋_GB2312"/>
                <w:color w:val="FF0000"/>
                <w:sz w:val="28"/>
                <w:szCs w:val="28"/>
                <w:shd w:val="clear" w:color="auto" w:fill="FFFFFF"/>
                <w:lang w:val="en-US" w:eastAsia="zh-CN"/>
              </w:rPr>
            </w:pPr>
            <w:r>
              <w:rPr>
                <w:rFonts w:hint="eastAsia" w:ascii="仿宋_GB2312" w:eastAsia="仿宋_GB2312"/>
                <w:color w:val="FF0000"/>
                <w:sz w:val="28"/>
                <w:szCs w:val="28"/>
                <w:shd w:val="clear" w:color="auto" w:fill="FFFFFF"/>
                <w:lang w:val="en-US" w:eastAsia="zh-CN"/>
              </w:rPr>
              <w:t>3套</w:t>
            </w:r>
          </w:p>
        </w:tc>
        <w:tc>
          <w:tcPr>
            <w:tcW w:w="1648" w:type="dxa"/>
            <w:vAlign w:val="top"/>
          </w:tcPr>
          <w:p w14:paraId="4B9F099E">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仿宋_GB2312" w:eastAsia="仿宋_GB2312"/>
                <w:color w:val="FF0000"/>
                <w:sz w:val="28"/>
                <w:szCs w:val="28"/>
                <w:shd w:val="clear" w:color="auto" w:fill="FFFFFF"/>
                <w:lang w:val="en-US" w:eastAsia="zh-CN"/>
              </w:rPr>
            </w:pPr>
            <w:r>
              <w:rPr>
                <w:rFonts w:hint="eastAsia" w:ascii="仿宋_GB2312" w:eastAsia="仿宋_GB2312"/>
                <w:color w:val="FF0000"/>
                <w:sz w:val="28"/>
                <w:szCs w:val="28"/>
                <w:shd w:val="clear" w:color="auto" w:fill="FFFFFF"/>
                <w:lang w:val="en-US" w:eastAsia="zh-CN"/>
              </w:rPr>
              <w:t>约300</w:t>
            </w:r>
          </w:p>
        </w:tc>
        <w:tc>
          <w:tcPr>
            <w:tcW w:w="1629" w:type="dxa"/>
            <w:vAlign w:val="top"/>
          </w:tcPr>
          <w:p w14:paraId="255E0A91">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仿宋_GB2312" w:eastAsia="仿宋_GB2312"/>
                <w:color w:val="FF0000"/>
                <w:sz w:val="28"/>
                <w:szCs w:val="28"/>
                <w:shd w:val="clear" w:color="auto" w:fill="FFFFFF"/>
                <w:lang w:val="en-US" w:eastAsia="zh-CN"/>
              </w:rPr>
            </w:pPr>
            <w:r>
              <w:rPr>
                <w:rFonts w:hint="eastAsia" w:ascii="仿宋_GB2312" w:eastAsia="仿宋_GB2312"/>
                <w:color w:val="FF0000"/>
                <w:sz w:val="28"/>
                <w:szCs w:val="28"/>
                <w:shd w:val="clear" w:color="auto" w:fill="FFFFFF"/>
                <w:lang w:val="en-US" w:eastAsia="zh-CN"/>
              </w:rPr>
              <w:t>进口/国产</w:t>
            </w:r>
          </w:p>
        </w:tc>
      </w:tr>
    </w:tbl>
    <w:p w14:paraId="0152881A">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sz w:val="34"/>
          <w:szCs w:val="34"/>
          <w:lang w:val="en-US" w:eastAsia="zh-CN"/>
        </w:rPr>
      </w:pPr>
      <w:r>
        <w:rPr>
          <w:rFonts w:hint="eastAsia" w:ascii="黑体" w:hAnsi="黑体" w:eastAsia="黑体"/>
          <w:sz w:val="32"/>
          <w:szCs w:val="32"/>
          <w:lang w:val="en-US" w:eastAsia="zh-CN"/>
        </w:rPr>
        <w:t>二、初步技术参数或要求</w:t>
      </w:r>
    </w:p>
    <w:p w14:paraId="6EBD2587">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default" w:ascii="仿宋" w:hAnsi="仿宋" w:eastAsia="楷体_GB2312" w:cs="仿宋"/>
          <w:b/>
          <w:sz w:val="32"/>
          <w:szCs w:val="32"/>
          <w:lang w:val="en-US" w:eastAsia="zh-CN"/>
        </w:rPr>
      </w:pPr>
      <w:r>
        <w:rPr>
          <w:rFonts w:hint="eastAsia" w:ascii="楷体_GB2312" w:eastAsia="楷体_GB2312"/>
          <w:b/>
          <w:sz w:val="32"/>
          <w:szCs w:val="32"/>
          <w:lang w:val="en-US" w:eastAsia="zh-CN"/>
        </w:rPr>
        <w:t>（一）</w:t>
      </w:r>
      <w:r>
        <w:rPr>
          <w:rFonts w:hint="eastAsia" w:ascii="宋体" w:hAnsi="宋体" w:eastAsia="宋体" w:cs="宋体"/>
          <w:i w:val="0"/>
          <w:iCs w:val="0"/>
          <w:color w:val="000000"/>
          <w:kern w:val="0"/>
          <w:sz w:val="32"/>
          <w:szCs w:val="32"/>
          <w:u w:val="none"/>
          <w:lang w:val="en-US" w:eastAsia="zh-CN" w:bidi="ar"/>
        </w:rPr>
        <w:t>彩色超声诊断仪（3套）</w:t>
      </w:r>
    </w:p>
    <w:p w14:paraId="4C09912B">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微软雅黑" w:hAnsi="微软雅黑" w:eastAsia="微软雅黑" w:cs="微软雅黑"/>
          <w:i w:val="0"/>
          <w:iCs w:val="0"/>
          <w:caps w:val="0"/>
          <w:color w:val="auto"/>
          <w:spacing w:val="0"/>
          <w:sz w:val="21"/>
          <w:szCs w:val="21"/>
          <w:shd w:val="clear" w:color="auto" w:fill="auto"/>
        </w:rPr>
      </w:pPr>
      <w:r>
        <w:rPr>
          <w:rFonts w:hint="eastAsia" w:ascii="仿宋" w:hAnsi="仿宋" w:eastAsia="仿宋" w:cs="仿宋"/>
          <w:sz w:val="32"/>
          <w:szCs w:val="32"/>
          <w:lang w:val="en-US" w:eastAsia="zh-CN"/>
        </w:rPr>
        <w:t>★1.有相关合法合规</w:t>
      </w:r>
      <w:r>
        <w:rPr>
          <w:rFonts w:hint="eastAsia" w:ascii="仿宋" w:hAnsi="仿宋" w:eastAsia="仿宋" w:cs="仿宋"/>
          <w:i w:val="0"/>
          <w:iCs w:val="0"/>
          <w:caps w:val="0"/>
          <w:color w:val="auto"/>
          <w:spacing w:val="0"/>
          <w:sz w:val="32"/>
          <w:szCs w:val="32"/>
          <w:shd w:val="clear" w:color="auto" w:fill="auto"/>
        </w:rPr>
        <w:t>证</w:t>
      </w:r>
      <w:r>
        <w:rPr>
          <w:rFonts w:hint="eastAsia" w:ascii="仿宋" w:hAnsi="仿宋" w:eastAsia="仿宋" w:cs="仿宋"/>
          <w:i w:val="0"/>
          <w:iCs w:val="0"/>
          <w:caps w:val="0"/>
          <w:color w:val="auto"/>
          <w:spacing w:val="0"/>
          <w:sz w:val="32"/>
          <w:szCs w:val="32"/>
          <w:shd w:val="clear" w:color="auto" w:fill="auto"/>
          <w:lang w:val="en-US" w:eastAsia="zh-CN"/>
        </w:rPr>
        <w:t>件</w:t>
      </w:r>
      <w:r>
        <w:rPr>
          <w:rFonts w:hint="eastAsia" w:ascii="仿宋" w:hAnsi="仿宋" w:eastAsia="仿宋" w:cs="仿宋"/>
          <w:i w:val="0"/>
          <w:iCs w:val="0"/>
          <w:caps w:val="0"/>
          <w:color w:val="auto"/>
          <w:spacing w:val="0"/>
          <w:sz w:val="32"/>
          <w:szCs w:val="32"/>
          <w:shd w:val="clear" w:color="auto" w:fill="auto"/>
          <w:lang w:eastAsia="zh-CN"/>
        </w:rPr>
        <w:t>，</w:t>
      </w:r>
      <w:r>
        <w:rPr>
          <w:rFonts w:hint="eastAsia" w:ascii="仿宋" w:hAnsi="仿宋" w:eastAsia="仿宋" w:cs="仿宋"/>
          <w:i w:val="0"/>
          <w:iCs w:val="0"/>
          <w:caps w:val="0"/>
          <w:color w:val="auto"/>
          <w:spacing w:val="0"/>
          <w:sz w:val="32"/>
          <w:szCs w:val="32"/>
          <w:shd w:val="clear" w:color="auto" w:fill="auto"/>
        </w:rPr>
        <w:t>在医疗机构中使用，</w:t>
      </w:r>
      <w:r>
        <w:rPr>
          <w:rFonts w:hint="eastAsia" w:ascii="仿宋" w:hAnsi="仿宋" w:eastAsia="仿宋" w:cs="仿宋"/>
          <w:i w:val="0"/>
          <w:iCs w:val="0"/>
          <w:caps w:val="0"/>
          <w:color w:val="FF0000"/>
          <w:spacing w:val="0"/>
          <w:sz w:val="32"/>
          <w:szCs w:val="32"/>
          <w:shd w:val="clear" w:color="auto" w:fill="auto"/>
          <w:lang w:val="en-US" w:eastAsia="zh-CN"/>
        </w:rPr>
        <w:t>主要用于心脏检查</w:t>
      </w:r>
      <w:r>
        <w:rPr>
          <w:rFonts w:hint="eastAsia" w:ascii="仿宋" w:hAnsi="仿宋" w:eastAsia="仿宋" w:cs="仿宋"/>
          <w:i w:val="0"/>
          <w:iCs w:val="0"/>
          <w:caps w:val="0"/>
          <w:color w:val="auto"/>
          <w:spacing w:val="0"/>
          <w:sz w:val="32"/>
          <w:szCs w:val="32"/>
          <w:shd w:val="clear" w:color="auto" w:fill="auto"/>
          <w:lang w:val="en-US" w:eastAsia="zh-CN"/>
        </w:rPr>
        <w:t>，配置成人心脏探头、小儿心脏探头、浅表探头、头颅探头和腹部探头</w:t>
      </w:r>
      <w:r>
        <w:rPr>
          <w:rFonts w:ascii="微软雅黑" w:hAnsi="微软雅黑" w:eastAsia="微软雅黑" w:cs="微软雅黑"/>
          <w:i w:val="0"/>
          <w:iCs w:val="0"/>
          <w:caps w:val="0"/>
          <w:color w:val="auto"/>
          <w:spacing w:val="0"/>
          <w:sz w:val="21"/>
          <w:szCs w:val="21"/>
          <w:shd w:val="clear" w:color="auto" w:fill="auto"/>
        </w:rPr>
        <w:t>。</w:t>
      </w:r>
    </w:p>
    <w:p w14:paraId="199EAD7D">
      <w:pPr>
        <w:keepNext w:val="0"/>
        <w:keepLines w:val="0"/>
        <w:pageBreakBefore w:val="0"/>
        <w:kinsoku/>
        <w:wordWrap/>
        <w:overflowPunct/>
        <w:topLinePunct w:val="0"/>
        <w:autoSpaceDE/>
        <w:autoSpaceDN/>
        <w:bidi w:val="0"/>
        <w:adjustRightInd/>
        <w:snapToGrid/>
        <w:spacing w:line="560" w:lineRule="exact"/>
        <w:ind w:firstLine="420" w:firstLineChars="200"/>
        <w:textAlignment w:val="auto"/>
        <w:rPr>
          <w:rFonts w:hint="eastAsia" w:ascii="仿宋" w:hAnsi="仿宋" w:eastAsia="仿宋" w:cs="仿宋"/>
          <w:i w:val="0"/>
          <w:iCs w:val="0"/>
          <w:caps w:val="0"/>
          <w:color w:val="auto"/>
          <w:spacing w:val="0"/>
          <w:sz w:val="32"/>
          <w:szCs w:val="32"/>
          <w:shd w:val="clear" w:color="auto" w:fill="auto"/>
          <w:lang w:val="en-US" w:eastAsia="zh-CN"/>
        </w:rPr>
      </w:pPr>
      <w:r>
        <w:rPr>
          <w:rFonts w:hint="eastAsia" w:ascii="微软雅黑" w:hAnsi="微软雅黑" w:eastAsia="微软雅黑" w:cs="微软雅黑"/>
          <w:i w:val="0"/>
          <w:iCs w:val="0"/>
          <w:caps w:val="0"/>
          <w:color w:val="auto"/>
          <w:spacing w:val="0"/>
          <w:sz w:val="21"/>
          <w:szCs w:val="21"/>
          <w:shd w:val="clear" w:color="auto" w:fill="auto"/>
          <w:lang w:val="en-US" w:eastAsia="zh-CN"/>
        </w:rPr>
        <w:t xml:space="preserve">  </w:t>
      </w:r>
      <w:r>
        <w:rPr>
          <w:rFonts w:hint="eastAsia" w:ascii="仿宋" w:hAnsi="仿宋" w:eastAsia="仿宋" w:cs="仿宋"/>
          <w:sz w:val="32"/>
          <w:szCs w:val="32"/>
          <w:lang w:val="en-US" w:eastAsia="zh-CN"/>
        </w:rPr>
        <w:t>★</w:t>
      </w:r>
      <w:r>
        <w:rPr>
          <w:rFonts w:hint="eastAsia" w:ascii="仿宋" w:hAnsi="仿宋" w:eastAsia="仿宋" w:cs="仿宋"/>
          <w:i w:val="0"/>
          <w:iCs w:val="0"/>
          <w:caps w:val="0"/>
          <w:color w:val="auto"/>
          <w:spacing w:val="0"/>
          <w:sz w:val="32"/>
          <w:szCs w:val="32"/>
          <w:shd w:val="clear" w:color="auto" w:fill="auto"/>
          <w:lang w:val="en-US" w:eastAsia="zh-CN"/>
        </w:rPr>
        <w:t>2.</w:t>
      </w:r>
      <w:r>
        <w:rPr>
          <w:rFonts w:hint="eastAsia" w:ascii="仿宋" w:hAnsi="仿宋" w:eastAsia="仿宋" w:cs="仿宋"/>
          <w:sz w:val="32"/>
          <w:szCs w:val="32"/>
          <w:lang w:val="en-US" w:eastAsia="zh-CN"/>
        </w:rPr>
        <w:t>有相关合法合规</w:t>
      </w:r>
      <w:r>
        <w:rPr>
          <w:rFonts w:hint="eastAsia" w:ascii="仿宋" w:hAnsi="仿宋" w:eastAsia="仿宋" w:cs="仿宋"/>
          <w:i w:val="0"/>
          <w:iCs w:val="0"/>
          <w:caps w:val="0"/>
          <w:color w:val="auto"/>
          <w:spacing w:val="0"/>
          <w:sz w:val="32"/>
          <w:szCs w:val="32"/>
          <w:shd w:val="clear" w:color="auto" w:fill="auto"/>
        </w:rPr>
        <w:t>证</w:t>
      </w:r>
      <w:r>
        <w:rPr>
          <w:rFonts w:hint="eastAsia" w:ascii="仿宋" w:hAnsi="仿宋" w:eastAsia="仿宋" w:cs="仿宋"/>
          <w:i w:val="0"/>
          <w:iCs w:val="0"/>
          <w:caps w:val="0"/>
          <w:color w:val="auto"/>
          <w:spacing w:val="0"/>
          <w:sz w:val="32"/>
          <w:szCs w:val="32"/>
          <w:shd w:val="clear" w:color="auto" w:fill="auto"/>
          <w:lang w:val="en-US" w:eastAsia="zh-CN"/>
        </w:rPr>
        <w:t>件</w:t>
      </w:r>
      <w:r>
        <w:rPr>
          <w:rFonts w:hint="eastAsia" w:ascii="仿宋" w:hAnsi="仿宋" w:eastAsia="仿宋" w:cs="仿宋"/>
          <w:i w:val="0"/>
          <w:iCs w:val="0"/>
          <w:caps w:val="0"/>
          <w:color w:val="auto"/>
          <w:spacing w:val="0"/>
          <w:sz w:val="32"/>
          <w:szCs w:val="32"/>
          <w:shd w:val="clear" w:color="auto" w:fill="auto"/>
          <w:lang w:eastAsia="zh-CN"/>
        </w:rPr>
        <w:t>，</w:t>
      </w:r>
      <w:r>
        <w:rPr>
          <w:rFonts w:hint="eastAsia" w:ascii="仿宋" w:hAnsi="仿宋" w:eastAsia="仿宋" w:cs="仿宋"/>
          <w:i w:val="0"/>
          <w:iCs w:val="0"/>
          <w:caps w:val="0"/>
          <w:color w:val="auto"/>
          <w:spacing w:val="0"/>
          <w:sz w:val="32"/>
          <w:szCs w:val="32"/>
          <w:shd w:val="clear" w:color="auto" w:fill="auto"/>
        </w:rPr>
        <w:t>在医疗机构中使用，</w:t>
      </w:r>
      <w:r>
        <w:rPr>
          <w:rFonts w:hint="eastAsia" w:ascii="仿宋" w:hAnsi="仿宋" w:eastAsia="仿宋" w:cs="仿宋"/>
          <w:i w:val="0"/>
          <w:iCs w:val="0"/>
          <w:caps w:val="0"/>
          <w:color w:val="FF0000"/>
          <w:spacing w:val="0"/>
          <w:sz w:val="32"/>
          <w:szCs w:val="32"/>
          <w:shd w:val="clear" w:color="auto" w:fill="auto"/>
          <w:lang w:val="en-US" w:eastAsia="zh-CN"/>
        </w:rPr>
        <w:t>主要用于妇产科检查</w:t>
      </w:r>
      <w:r>
        <w:rPr>
          <w:rFonts w:hint="eastAsia" w:ascii="仿宋" w:hAnsi="仿宋" w:eastAsia="仿宋" w:cs="仿宋"/>
          <w:i w:val="0"/>
          <w:iCs w:val="0"/>
          <w:caps w:val="0"/>
          <w:color w:val="auto"/>
          <w:spacing w:val="0"/>
          <w:sz w:val="32"/>
          <w:szCs w:val="32"/>
          <w:shd w:val="clear" w:color="auto" w:fill="auto"/>
          <w:lang w:val="en-US" w:eastAsia="zh-CN"/>
        </w:rPr>
        <w:t>，配置腹部探头、浅表探头、腹部容积探头、腔内容积探头。</w:t>
      </w:r>
    </w:p>
    <w:p w14:paraId="35B6BC0A">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
          <w:i w:val="0"/>
          <w:iCs w:val="0"/>
          <w:caps w:val="0"/>
          <w:color w:val="auto"/>
          <w:spacing w:val="0"/>
          <w:sz w:val="32"/>
          <w:szCs w:val="32"/>
          <w:shd w:val="clear" w:color="auto" w:fill="auto"/>
          <w:lang w:val="en-US" w:eastAsia="zh-CN"/>
        </w:rPr>
      </w:pPr>
      <w:r>
        <w:rPr>
          <w:rFonts w:hint="eastAsia" w:ascii="仿宋" w:hAnsi="仿宋" w:eastAsia="仿宋" w:cs="仿宋"/>
          <w:sz w:val="32"/>
          <w:szCs w:val="32"/>
          <w:lang w:val="en-US" w:eastAsia="zh-CN"/>
        </w:rPr>
        <w:t>★</w:t>
      </w:r>
      <w:r>
        <w:rPr>
          <w:rFonts w:hint="eastAsia" w:ascii="仿宋" w:hAnsi="仿宋" w:eastAsia="仿宋" w:cs="仿宋"/>
          <w:i w:val="0"/>
          <w:iCs w:val="0"/>
          <w:caps w:val="0"/>
          <w:color w:val="auto"/>
          <w:spacing w:val="0"/>
          <w:sz w:val="32"/>
          <w:szCs w:val="32"/>
          <w:shd w:val="clear" w:color="auto" w:fill="auto"/>
          <w:lang w:val="en-US" w:eastAsia="zh-CN"/>
        </w:rPr>
        <w:t>3.</w:t>
      </w:r>
      <w:r>
        <w:rPr>
          <w:rFonts w:hint="eastAsia" w:ascii="仿宋" w:hAnsi="仿宋" w:eastAsia="仿宋" w:cs="仿宋"/>
          <w:sz w:val="32"/>
          <w:szCs w:val="32"/>
          <w:lang w:val="en-US" w:eastAsia="zh-CN"/>
        </w:rPr>
        <w:t>有相关合法合规</w:t>
      </w:r>
      <w:r>
        <w:rPr>
          <w:rFonts w:hint="eastAsia" w:ascii="仿宋" w:hAnsi="仿宋" w:eastAsia="仿宋" w:cs="仿宋"/>
          <w:i w:val="0"/>
          <w:iCs w:val="0"/>
          <w:caps w:val="0"/>
          <w:color w:val="auto"/>
          <w:spacing w:val="0"/>
          <w:sz w:val="32"/>
          <w:szCs w:val="32"/>
          <w:shd w:val="clear" w:color="auto" w:fill="auto"/>
        </w:rPr>
        <w:t>证</w:t>
      </w:r>
      <w:r>
        <w:rPr>
          <w:rFonts w:hint="eastAsia" w:ascii="仿宋" w:hAnsi="仿宋" w:eastAsia="仿宋" w:cs="仿宋"/>
          <w:i w:val="0"/>
          <w:iCs w:val="0"/>
          <w:caps w:val="0"/>
          <w:color w:val="auto"/>
          <w:spacing w:val="0"/>
          <w:sz w:val="32"/>
          <w:szCs w:val="32"/>
          <w:shd w:val="clear" w:color="auto" w:fill="auto"/>
          <w:lang w:val="en-US" w:eastAsia="zh-CN"/>
        </w:rPr>
        <w:t>件</w:t>
      </w:r>
      <w:r>
        <w:rPr>
          <w:rFonts w:hint="eastAsia" w:ascii="仿宋" w:hAnsi="仿宋" w:eastAsia="仿宋" w:cs="仿宋"/>
          <w:i w:val="0"/>
          <w:iCs w:val="0"/>
          <w:caps w:val="0"/>
          <w:color w:val="auto"/>
          <w:spacing w:val="0"/>
          <w:sz w:val="32"/>
          <w:szCs w:val="32"/>
          <w:shd w:val="clear" w:color="auto" w:fill="auto"/>
          <w:lang w:eastAsia="zh-CN"/>
        </w:rPr>
        <w:t>，</w:t>
      </w:r>
      <w:r>
        <w:rPr>
          <w:rFonts w:hint="eastAsia" w:ascii="仿宋" w:hAnsi="仿宋" w:eastAsia="仿宋" w:cs="仿宋"/>
          <w:i w:val="0"/>
          <w:iCs w:val="0"/>
          <w:caps w:val="0"/>
          <w:color w:val="auto"/>
          <w:spacing w:val="0"/>
          <w:sz w:val="32"/>
          <w:szCs w:val="32"/>
          <w:shd w:val="clear" w:color="auto" w:fill="auto"/>
        </w:rPr>
        <w:t>在医疗机构中使用，</w:t>
      </w:r>
      <w:r>
        <w:rPr>
          <w:rFonts w:hint="eastAsia" w:ascii="仿宋" w:hAnsi="仿宋" w:eastAsia="仿宋" w:cs="仿宋"/>
          <w:i w:val="0"/>
          <w:iCs w:val="0"/>
          <w:caps w:val="0"/>
          <w:color w:val="FF0000"/>
          <w:spacing w:val="0"/>
          <w:sz w:val="32"/>
          <w:szCs w:val="32"/>
          <w:shd w:val="clear" w:color="auto" w:fill="auto"/>
          <w:lang w:val="en-US" w:eastAsia="zh-CN"/>
        </w:rPr>
        <w:t>主要用于全身检查</w:t>
      </w:r>
      <w:r>
        <w:rPr>
          <w:rFonts w:hint="eastAsia" w:ascii="仿宋" w:hAnsi="仿宋" w:eastAsia="仿宋" w:cs="仿宋"/>
          <w:i w:val="0"/>
          <w:iCs w:val="0"/>
          <w:caps w:val="0"/>
          <w:color w:val="auto"/>
          <w:spacing w:val="0"/>
          <w:sz w:val="32"/>
          <w:szCs w:val="32"/>
          <w:shd w:val="clear" w:color="auto" w:fill="auto"/>
          <w:lang w:val="en-US" w:eastAsia="zh-CN"/>
        </w:rPr>
        <w:t>，配套腹部探头、浅表探头、腔内探</w:t>
      </w:r>
      <w:bookmarkStart w:id="0" w:name="_GoBack"/>
      <w:bookmarkEnd w:id="0"/>
      <w:r>
        <w:rPr>
          <w:rFonts w:hint="eastAsia" w:ascii="仿宋" w:hAnsi="仿宋" w:eastAsia="仿宋" w:cs="仿宋"/>
          <w:i w:val="0"/>
          <w:iCs w:val="0"/>
          <w:caps w:val="0"/>
          <w:color w:val="auto"/>
          <w:spacing w:val="0"/>
          <w:sz w:val="32"/>
          <w:szCs w:val="32"/>
          <w:shd w:val="clear" w:color="auto" w:fill="auto"/>
          <w:lang w:val="en-US" w:eastAsia="zh-CN"/>
        </w:rPr>
        <w:t>头、成人心脏探头。</w:t>
      </w:r>
    </w:p>
    <w:p w14:paraId="53FDE3F5">
      <w:pPr>
        <w:keepNext w:val="0"/>
        <w:keepLines w:val="0"/>
        <w:pageBreakBefore w:val="0"/>
        <w:numPr>
          <w:ilvl w:val="0"/>
          <w:numId w:val="0"/>
        </w:numPr>
        <w:kinsoku/>
        <w:wordWrap/>
        <w:overflowPunct/>
        <w:topLinePunct w:val="0"/>
        <w:autoSpaceDE/>
        <w:autoSpaceDN/>
        <w:bidi w:val="0"/>
        <w:adjustRightInd/>
        <w:snapToGrid/>
        <w:spacing w:line="560" w:lineRule="exact"/>
        <w:textAlignment w:val="auto"/>
        <w:rPr>
          <w:rFonts w:hint="default"/>
          <w:lang w:val="en-US" w:eastAsia="zh-CN"/>
        </w:rPr>
      </w:pPr>
      <w:r>
        <w:rPr>
          <w:rFonts w:hint="eastAsia"/>
          <w:lang w:val="en-US" w:eastAsia="zh-CN"/>
        </w:rPr>
        <w:t>（</w:t>
      </w:r>
      <w:r>
        <w:t>打“</w:t>
      </w:r>
      <w:r>
        <w:rPr>
          <w:rFonts w:hint="eastAsia" w:ascii="宋体" w:hAnsi="宋体" w:eastAsia="宋体" w:cs="宋体"/>
        </w:rPr>
        <w:t>★</w:t>
      </w:r>
      <w:r>
        <w:rPr>
          <w:rFonts w:ascii="Calibri" w:hAnsi="Calibri" w:cs="Calibri"/>
        </w:rPr>
        <w:t>”</w:t>
      </w:r>
      <w:r>
        <w:t>号条款为实质性条款，若有任何一条不满足则导致投标无效。打“</w:t>
      </w:r>
      <w:r>
        <w:rPr>
          <w:rFonts w:ascii="Arial" w:hAnsi="Arial" w:cs="Arial"/>
        </w:rPr>
        <w:t>▲</w:t>
      </w:r>
      <w:r>
        <w:rPr>
          <w:rFonts w:ascii="Calibri" w:hAnsi="Calibri" w:cs="Calibri"/>
        </w:rPr>
        <w:t>”</w:t>
      </w:r>
      <w:r>
        <w:t>号条款为重要技术参数</w:t>
      </w:r>
      <w:r>
        <w:rPr>
          <w:rFonts w:hint="eastAsia"/>
          <w:lang w:val="en-US" w:eastAsia="zh-CN"/>
        </w:rPr>
        <w:t>（</w:t>
      </w:r>
      <w:r>
        <w:t>如有</w:t>
      </w:r>
      <w:r>
        <w:rPr>
          <w:rFonts w:hint="eastAsia"/>
          <w:lang w:val="en-US" w:eastAsia="zh-CN"/>
        </w:rPr>
        <w:t>）</w:t>
      </w:r>
      <w:r>
        <w:t>，若有部分“</w:t>
      </w:r>
      <w:r>
        <w:rPr>
          <w:rFonts w:ascii="Arial" w:hAnsi="Arial" w:cs="Arial"/>
        </w:rPr>
        <w:t>▲</w:t>
      </w:r>
      <w:r>
        <w:rPr>
          <w:rFonts w:ascii="Calibri" w:hAnsi="Calibri" w:cs="Calibri"/>
        </w:rPr>
        <w:t>”</w:t>
      </w:r>
      <w:r>
        <w:t>条款不满足，将根据评审要求影响其得分，但不作为无效投标条款。</w:t>
      </w:r>
      <w:r>
        <w:rPr>
          <w:rFonts w:hint="eastAsia"/>
          <w:lang w:val="en-US" w:eastAsia="zh-CN"/>
        </w:rPr>
        <w:t>）</w:t>
      </w:r>
    </w:p>
    <w:p w14:paraId="76FE0BFE">
      <w:pPr>
        <w:keepNext w:val="0"/>
        <w:keepLines w:val="0"/>
        <w:pageBreakBefore w:val="0"/>
        <w:numPr>
          <w:ilvl w:val="0"/>
          <w:numId w:val="0"/>
        </w:numPr>
        <w:kinsoku/>
        <w:wordWrap/>
        <w:overflowPunct/>
        <w:topLinePunct w:val="0"/>
        <w:autoSpaceDE/>
        <w:autoSpaceDN/>
        <w:bidi w:val="0"/>
        <w:adjustRightInd/>
        <w:snapToGrid/>
        <w:spacing w:line="560" w:lineRule="exact"/>
        <w:ind w:firstLine="540" w:firstLineChars="200"/>
        <w:textAlignment w:val="auto"/>
        <w:rPr>
          <w:rFonts w:hint="eastAsia"/>
          <w:lang w:eastAsia="zh-CN"/>
        </w:rPr>
      </w:pPr>
      <w:r>
        <w:rPr>
          <w:rStyle w:val="5"/>
          <w:rFonts w:hint="eastAsia" w:ascii="微软雅黑" w:hAnsi="微软雅黑" w:eastAsia="微软雅黑" w:cs="微软雅黑"/>
          <w:i w:val="0"/>
          <w:iCs w:val="0"/>
          <w:caps w:val="0"/>
          <w:color w:val="333333"/>
          <w:spacing w:val="0"/>
          <w:sz w:val="27"/>
          <w:szCs w:val="27"/>
        </w:rPr>
        <w:t>声明：本公告所述的采购需求无任何针对性、倾向性和排他性，因市场了解的局限性，可能存在某些不足，仅作为我院市场调研参考所用。</w:t>
      </w:r>
    </w:p>
    <w:p w14:paraId="296E15BE">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sz w:val="32"/>
          <w:szCs w:val="32"/>
          <w:lang w:val="en-US" w:eastAsia="zh-CN"/>
        </w:rPr>
      </w:pPr>
      <w:r>
        <w:rPr>
          <w:rFonts w:hint="eastAsia" w:ascii="黑体" w:hAnsi="黑体" w:eastAsia="黑体"/>
          <w:sz w:val="32"/>
          <w:szCs w:val="32"/>
          <w:lang w:val="en-US" w:eastAsia="zh-CN"/>
        </w:rPr>
        <w:t>三、商务要求</w:t>
      </w:r>
    </w:p>
    <w:p w14:paraId="58C144F2">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ascii="楷体_GB2312" w:eastAsia="楷体_GB2312"/>
          <w:b/>
          <w:sz w:val="32"/>
          <w:szCs w:val="32"/>
          <w:lang w:eastAsia="zh-CN"/>
        </w:rPr>
      </w:pPr>
      <w:r>
        <w:rPr>
          <w:rFonts w:hint="eastAsia" w:ascii="楷体_GB2312" w:eastAsia="楷体_GB2312"/>
          <w:b/>
          <w:sz w:val="32"/>
          <w:szCs w:val="32"/>
          <w:lang w:val="en-US" w:eastAsia="zh-CN"/>
        </w:rPr>
        <w:t>（一）</w:t>
      </w:r>
      <w:r>
        <w:rPr>
          <w:rFonts w:hint="eastAsia" w:ascii="楷体_GB2312" w:eastAsia="楷体_GB2312"/>
          <w:b/>
          <w:sz w:val="32"/>
          <w:szCs w:val="32"/>
        </w:rPr>
        <w:t>供货方案及安装调试、培训方案</w:t>
      </w:r>
      <w:r>
        <w:rPr>
          <w:rFonts w:hint="eastAsia" w:ascii="楷体_GB2312" w:eastAsia="楷体_GB2312"/>
          <w:b/>
          <w:sz w:val="32"/>
          <w:szCs w:val="32"/>
          <w:lang w:eastAsia="zh-CN"/>
        </w:rPr>
        <w:t>。</w:t>
      </w:r>
    </w:p>
    <w:p w14:paraId="4EEE09CB">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合同签订生效后30个日历天内，完成到货安装调试并提交采购人试用。</w:t>
      </w:r>
      <w:r>
        <w:rPr>
          <w:rFonts w:hint="eastAsia" w:ascii="仿宋_GB2312" w:hAnsi="仿宋_GB2312" w:eastAsia="仿宋_GB2312" w:cs="仿宋_GB2312"/>
          <w:sz w:val="32"/>
          <w:szCs w:val="32"/>
          <w:lang w:eastAsia="zh-CN"/>
        </w:rPr>
        <w:t>投标人应当采取有效措施确保投标产品的规格、性能、校对等符合国家标准、行业标准等质量管理规定要求，保障投标产品的质量。</w:t>
      </w:r>
      <w:r>
        <w:rPr>
          <w:rFonts w:hint="eastAsia" w:ascii="仿宋_GB2312" w:hAnsi="仿宋_GB2312" w:eastAsia="仿宋_GB2312" w:cs="仿宋_GB2312"/>
          <w:sz w:val="32"/>
          <w:szCs w:val="32"/>
        </w:rPr>
        <w:t>投标人须提供所投产品完整的配置清单。培训要求：中标人负责培训采购人有关技术人员，直至掌握操作技术为止。在仪器正常使用期间，中标人须负责该设备的技术咨询。</w:t>
      </w:r>
    </w:p>
    <w:p w14:paraId="7759A81F">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ascii="楷体_GB2312" w:eastAsia="楷体_GB2312"/>
          <w:b/>
          <w:sz w:val="32"/>
          <w:szCs w:val="32"/>
          <w:lang w:eastAsia="zh-CN"/>
        </w:rPr>
      </w:pPr>
      <w:r>
        <w:rPr>
          <w:rFonts w:hint="eastAsia" w:ascii="楷体_GB2312" w:eastAsia="楷体_GB2312"/>
          <w:b/>
          <w:sz w:val="32"/>
          <w:szCs w:val="32"/>
          <w:lang w:eastAsia="zh-CN"/>
        </w:rPr>
        <w:t>（二）</w:t>
      </w:r>
      <w:r>
        <w:rPr>
          <w:rFonts w:hint="eastAsia" w:ascii="楷体_GB2312" w:eastAsia="楷体_GB2312"/>
          <w:b/>
          <w:sz w:val="32"/>
          <w:szCs w:val="32"/>
        </w:rPr>
        <w:t>验收</w:t>
      </w:r>
      <w:r>
        <w:rPr>
          <w:rFonts w:hint="eastAsia" w:ascii="楷体_GB2312" w:eastAsia="楷体_GB2312"/>
          <w:b/>
          <w:sz w:val="32"/>
          <w:szCs w:val="32"/>
          <w:lang w:eastAsia="zh-CN"/>
        </w:rPr>
        <w:t>要求。</w:t>
      </w:r>
    </w:p>
    <w:p w14:paraId="74FF2730">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验收时间：设备安装调试完毕后并试用</w:t>
      </w:r>
      <w:r>
        <w:rPr>
          <w:rFonts w:hint="eastAsia" w:ascii="仿宋_GB2312" w:hAnsi="仿宋_GB2312" w:eastAsia="仿宋_GB2312" w:cs="仿宋_GB2312"/>
          <w:sz w:val="32"/>
          <w:szCs w:val="32"/>
          <w:lang w:val="en-US" w:eastAsia="zh-CN"/>
        </w:rPr>
        <w:t>三周</w:t>
      </w:r>
      <w:r>
        <w:rPr>
          <w:rFonts w:hint="eastAsia" w:ascii="仿宋_GB2312" w:hAnsi="仿宋_GB2312" w:eastAsia="仿宋_GB2312" w:cs="仿宋_GB2312"/>
          <w:sz w:val="32"/>
          <w:szCs w:val="32"/>
        </w:rPr>
        <w:t>后进行，</w:t>
      </w:r>
      <w:r>
        <w:rPr>
          <w:rFonts w:hint="eastAsia" w:ascii="仿宋_GB2312" w:hAnsi="仿宋_GB2312" w:eastAsia="仿宋_GB2312" w:cs="仿宋_GB2312"/>
          <w:sz w:val="32"/>
          <w:szCs w:val="32"/>
          <w:lang w:val="en-US" w:eastAsia="zh-CN"/>
        </w:rPr>
        <w:t>一个月内完成验收，</w:t>
      </w:r>
      <w:r>
        <w:rPr>
          <w:rFonts w:hint="eastAsia" w:ascii="仿宋_GB2312" w:hAnsi="仿宋_GB2312" w:eastAsia="仿宋_GB2312" w:cs="仿宋_GB2312"/>
          <w:sz w:val="32"/>
          <w:szCs w:val="32"/>
        </w:rPr>
        <w:t>中标人应提交相应的验收资料协助采购人进行验收。</w:t>
      </w:r>
    </w:p>
    <w:p w14:paraId="43CB1868">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验收方法：由采购人使用部门人员、医疗器械工程师及中标人相关人员共同对设备产品质量和技术指标进行检验。</w:t>
      </w:r>
    </w:p>
    <w:p w14:paraId="67BAF32C">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验收标准</w:t>
      </w:r>
      <w:r>
        <w:rPr>
          <w:rFonts w:hint="eastAsia" w:ascii="仿宋_GB2312" w:hAnsi="仿宋_GB2312" w:eastAsia="仿宋_GB2312" w:cs="仿宋_GB2312"/>
          <w:sz w:val="32"/>
          <w:szCs w:val="32"/>
          <w:lang w:eastAsia="zh-CN"/>
        </w:rPr>
        <w:t>：</w:t>
      </w:r>
    </w:p>
    <w:p w14:paraId="6E4125CD">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中标人提供的设备必须是全新的，出厂日期不超过</w:t>
      </w:r>
      <w:r>
        <w:rPr>
          <w:rFonts w:hint="eastAsia" w:ascii="仿宋_GB2312" w:hAnsi="仿宋_GB2312" w:eastAsia="仿宋_GB2312" w:cs="仿宋_GB2312"/>
          <w:color w:val="FF0000"/>
          <w:sz w:val="32"/>
          <w:szCs w:val="32"/>
          <w:lang w:eastAsia="zh-CN"/>
        </w:rPr>
        <w:t>半</w:t>
      </w:r>
      <w:r>
        <w:rPr>
          <w:rFonts w:hint="eastAsia" w:ascii="仿宋_GB2312" w:hAnsi="仿宋_GB2312" w:eastAsia="仿宋_GB2312" w:cs="仿宋_GB2312"/>
          <w:sz w:val="32"/>
          <w:szCs w:val="32"/>
        </w:rPr>
        <w:t>年，且交付时原厂包装完好，无任何质量缺陷；设备中所装的软件必须是最新的版本。</w:t>
      </w:r>
    </w:p>
    <w:p w14:paraId="2833E9E2">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中标人随设备提供设备的中文说明书、中文使用手册</w:t>
      </w:r>
      <w:r>
        <w:rPr>
          <w:rFonts w:hint="eastAsia" w:ascii="仿宋_GB2312" w:hAnsi="仿宋_GB2312" w:eastAsia="仿宋_GB2312" w:cs="仿宋_GB2312"/>
          <w:sz w:val="32"/>
          <w:szCs w:val="32"/>
          <w:lang w:eastAsia="zh-CN"/>
        </w:rPr>
        <w:t>。</w:t>
      </w:r>
    </w:p>
    <w:p w14:paraId="19BAD0A4">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安装调试完毕后，所有设备必须保证能正常运行并满足采购人购买时所声明的使用需求。</w:t>
      </w:r>
    </w:p>
    <w:p w14:paraId="678A4434">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ascii="楷体_GB2312" w:eastAsia="楷体_GB2312"/>
          <w:b/>
          <w:sz w:val="32"/>
          <w:szCs w:val="32"/>
          <w:lang w:eastAsia="zh-CN"/>
        </w:rPr>
      </w:pPr>
      <w:r>
        <w:rPr>
          <w:rFonts w:hint="eastAsia" w:ascii="楷体_GB2312" w:eastAsia="楷体_GB2312"/>
          <w:b/>
          <w:sz w:val="32"/>
          <w:szCs w:val="32"/>
          <w:lang w:eastAsia="zh-CN"/>
        </w:rPr>
        <w:t>（三）售后服务。</w:t>
      </w:r>
    </w:p>
    <w:p w14:paraId="5BA042A1">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整机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含所有零配件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原厂保修期至少</w:t>
      </w:r>
      <w:r>
        <w:rPr>
          <w:rFonts w:hint="eastAsia" w:ascii="仿宋_GB2312" w:hAnsi="仿宋_GB2312" w:eastAsia="仿宋_GB2312" w:cs="仿宋_GB2312"/>
          <w:color w:val="FF0000"/>
          <w:sz w:val="32"/>
          <w:szCs w:val="32"/>
          <w:lang w:eastAsia="zh-CN"/>
        </w:rPr>
        <w:t>三</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在保修期内维修时提供的设备零配件须为原厂生产的合格产品</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，人为因素</w:t>
      </w:r>
      <w:r>
        <w:rPr>
          <w:rFonts w:hint="eastAsia" w:ascii="仿宋_GB2312" w:hAnsi="仿宋_GB2312" w:eastAsia="仿宋_GB2312" w:cs="仿宋_GB2312"/>
          <w:sz w:val="32"/>
          <w:szCs w:val="32"/>
          <w:lang w:eastAsia="zh-CN"/>
        </w:rPr>
        <w:t>除外</w:t>
      </w:r>
      <w:r>
        <w:rPr>
          <w:rFonts w:hint="eastAsia" w:ascii="仿宋_GB2312" w:hAnsi="仿宋_GB2312" w:eastAsia="仿宋_GB2312" w:cs="仿宋_GB2312"/>
          <w:sz w:val="32"/>
          <w:szCs w:val="32"/>
        </w:rPr>
        <w:t>。乙方需提供设备生产商或国内总代理上述保修方案的服务书。</w:t>
      </w:r>
    </w:p>
    <w:p w14:paraId="2EECB05B">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保修期内，售后服务单位接到用户设备报修通知后，2小时内电话回复处理意见，12小时内现场维修，≤72小时内修复，若无法修复，则自取走故障件之日起，3个工作日内提供备品以保证业务正常开展，若无法按时修复或如期提供备品造成停机，则按1:7延长保修期</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即停机1天，延长保修期7天</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，30天后若完全不能修复则由乙方更换同款整机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该费用已包含在本合同总价中</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保修期内至少每季度1次按生产商保养标准做1次保养</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该费用已包含在本合同总价中</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 xml:space="preserve">，并出具报告交采购人设备科留存。供应商未履行前述维修和保养服务的，采购人有权不支付尾款，尾款金额不足以赔偿采购人损失的，采购人有权要求供应商承担继续赔偿责任。    </w:t>
      </w:r>
    </w:p>
    <w:p w14:paraId="3D8E2F7A">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sz w:val="32"/>
          <w:szCs w:val="32"/>
          <w:lang w:val="en-US" w:eastAsia="zh-CN"/>
        </w:rPr>
      </w:pPr>
      <w:r>
        <w:rPr>
          <w:rFonts w:hint="eastAsia" w:ascii="黑体" w:hAnsi="黑体" w:eastAsia="黑体"/>
          <w:sz w:val="32"/>
          <w:szCs w:val="32"/>
          <w:lang w:val="en-US" w:eastAsia="zh-CN"/>
        </w:rPr>
        <w:t>三、其他要求</w:t>
      </w:r>
    </w:p>
    <w:p w14:paraId="375E2959">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w:t>
      </w:r>
      <w:r>
        <w:rPr>
          <w:rFonts w:hint="eastAsia" w:ascii="仿宋_GB2312" w:hAnsi="仿宋_GB2312" w:eastAsia="仿宋_GB2312" w:cs="仿宋_GB2312"/>
          <w:sz w:val="32"/>
          <w:szCs w:val="32"/>
        </w:rPr>
        <w:t>设备</w:t>
      </w:r>
      <w:r>
        <w:rPr>
          <w:rFonts w:hint="eastAsia" w:ascii="仿宋_GB2312" w:hAnsi="仿宋_GB2312" w:eastAsia="仿宋_GB2312" w:cs="仿宋_GB2312"/>
          <w:sz w:val="32"/>
          <w:szCs w:val="32"/>
          <w:lang w:eastAsia="zh-CN"/>
        </w:rPr>
        <w:t>货款</w:t>
      </w:r>
      <w:r>
        <w:rPr>
          <w:rFonts w:hint="eastAsia" w:ascii="仿宋_GB2312" w:hAnsi="仿宋_GB2312" w:eastAsia="仿宋_GB2312" w:cs="仿宋_GB2312"/>
          <w:sz w:val="32"/>
          <w:szCs w:val="32"/>
          <w:lang w:val="en-US" w:eastAsia="zh-CN"/>
        </w:rPr>
        <w:t>与中标企业签订合同并按合同约定支付预付款，并在设备验收入库后三个月内支付合同总金额的95%，在质保期满后三个月内支付剩余的5%</w:t>
      </w:r>
      <w:r>
        <w:rPr>
          <w:rFonts w:hint="eastAsia" w:ascii="仿宋_GB2312" w:hAnsi="仿宋_GB2312" w:eastAsia="仿宋_GB2312" w:cs="仿宋_GB2312"/>
          <w:sz w:val="32"/>
          <w:szCs w:val="32"/>
        </w:rPr>
        <w:t>。</w:t>
      </w:r>
    </w:p>
    <w:p w14:paraId="29E0E85F">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（二）如报价产品在使用过程中如需消耗耗材或试剂，必须在标书内列明并报价格、</w:t>
      </w:r>
      <w:r>
        <w:rPr>
          <w:rFonts w:hint="eastAsia" w:ascii="仿宋_GB2312" w:hAnsi="仿宋_GB2312" w:eastAsia="仿宋_GB2312" w:cs="仿宋_GB2312"/>
          <w:sz w:val="32"/>
          <w:szCs w:val="32"/>
        </w:rPr>
        <w:t>药品和医用耗材招采管理系统</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广东省</w:t>
      </w:r>
      <w:r>
        <w:rPr>
          <w:rFonts w:hint="eastAsia" w:ascii="仿宋_GB2312" w:hAnsi="仿宋_GB2312" w:eastAsia="仿宋_GB2312" w:cs="仿宋_GB2312"/>
          <w:sz w:val="32"/>
          <w:szCs w:val="32"/>
          <w:lang w:eastAsia="zh-CN"/>
        </w:rPr>
        <w:t>）耗材</w:t>
      </w:r>
      <w:r>
        <w:rPr>
          <w:rFonts w:hint="eastAsia" w:ascii="仿宋_GB2312" w:hAnsi="仿宋_GB2312" w:eastAsia="仿宋_GB2312" w:cs="仿宋_GB2312"/>
          <w:sz w:val="32"/>
          <w:szCs w:val="32"/>
        </w:rPr>
        <w:t>编号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药交耗材ID</w:t>
      </w:r>
      <w:r>
        <w:rPr>
          <w:rFonts w:hint="eastAsia" w:ascii="仿宋_GB2312" w:hAnsi="仿宋_GB2312" w:eastAsia="仿宋_GB2312" w:cs="仿宋_GB2312"/>
          <w:sz w:val="32"/>
          <w:szCs w:val="32"/>
          <w:lang w:eastAsia="zh-CN"/>
        </w:rPr>
        <w:t>）。报价单中未明确的专机专用耗材（配套耗材、非械耗材），默认为免费提供配套使用。</w:t>
      </w:r>
    </w:p>
    <w:p w14:paraId="3A10B4FF">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（三）</w:t>
      </w:r>
      <w:r>
        <w:rPr>
          <w:rFonts w:hint="eastAsia" w:ascii="仿宋_GB2312" w:hAnsi="仿宋_GB2312" w:eastAsia="仿宋_GB2312" w:cs="仿宋_GB2312"/>
          <w:sz w:val="32"/>
          <w:szCs w:val="32"/>
        </w:rPr>
        <w:t>本项目所述产品及技术要求，应视为保证项目投入运行所需的最低要求，并无指定。投标人可选用技术参数相当或更优的产品进行响应，也可以对产品配套的细节部分加以明确和优化。</w:t>
      </w:r>
    </w:p>
    <w:p w14:paraId="1412DFEB">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w:t>
      </w:r>
      <w:r>
        <w:rPr>
          <w:rFonts w:hint="eastAsia" w:ascii="仿宋_GB2312" w:hAnsi="仿宋_GB2312" w:eastAsia="仿宋_GB2312" w:cs="仿宋_GB2312"/>
          <w:sz w:val="32"/>
          <w:szCs w:val="32"/>
          <w:lang w:eastAsia="zh-CN"/>
        </w:rPr>
        <w:t>响应报价应为交付采购人使用前（包括伴随服务）的总价格。应包括设备费、备品备件费、各种税费、相关费用（运输、包装、安装调试费、装卸费、保险费）以及伴随服务费（验收、首次计量校准、培训、维修等的售后服务）等一切费用。</w:t>
      </w:r>
    </w:p>
    <w:p w14:paraId="225F88CB">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（五）</w:t>
      </w:r>
      <w:r>
        <w:rPr>
          <w:rFonts w:hint="eastAsia" w:ascii="仿宋_GB2312" w:hAnsi="仿宋_GB2312" w:eastAsia="仿宋_GB2312" w:cs="仿宋_GB2312"/>
          <w:sz w:val="32"/>
          <w:szCs w:val="32"/>
        </w:rPr>
        <w:t>投标供应商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或厂家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需承诺免费承担与临床信息系统接口费用</w:t>
      </w:r>
      <w:r>
        <w:rPr>
          <w:rFonts w:hint="eastAsia" w:ascii="仿宋_GB2312" w:hAnsi="仿宋_GB2312" w:eastAsia="仿宋_GB2312" w:cs="仿宋_GB2312"/>
          <w:sz w:val="32"/>
          <w:szCs w:val="32"/>
          <w:lang w:eastAsia="zh-CN"/>
        </w:rPr>
        <w:t>。</w:t>
      </w:r>
    </w:p>
    <w:p w14:paraId="2DF49810">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（六）</w:t>
      </w:r>
      <w:r>
        <w:rPr>
          <w:rFonts w:hint="eastAsia" w:ascii="仿宋_GB2312" w:hAnsi="仿宋_GB2312" w:eastAsia="仿宋_GB2312" w:cs="仿宋_GB2312"/>
          <w:sz w:val="32"/>
          <w:szCs w:val="32"/>
          <w:lang w:eastAsia="zh-CN"/>
        </w:rPr>
        <w:t>投标人应保证所有投标产品是按照采购人提供的要求进行供货，如出现使用、包装等方面的问题，投标人须无条件给予退换。</w:t>
      </w:r>
    </w:p>
    <w:p w14:paraId="2400A2DE">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（七）不合格的货物将被无条件退货，由此而产生的费用将由中标供应商负责；由于提供不符合质量要求的货物而使台山市妇幼保健院增加的成本将由中标供应商补偿。</w:t>
      </w:r>
    </w:p>
    <w:p w14:paraId="7CA05EA2">
      <w:pPr>
        <w:keepNext w:val="0"/>
        <w:keepLines w:val="0"/>
        <w:pageBreakBefore w:val="0"/>
        <w:kinsoku/>
        <w:wordWrap/>
        <w:overflowPunct/>
        <w:topLinePunct w:val="0"/>
        <w:autoSpaceDE/>
        <w:autoSpaceDN/>
        <w:bidi w:val="0"/>
        <w:adjustRightInd/>
        <w:snapToGrid/>
        <w:spacing w:line="560" w:lineRule="exact"/>
        <w:jc w:val="right"/>
        <w:textAlignment w:val="auto"/>
        <w:rPr>
          <w:rFonts w:hint="eastAsia" w:ascii="仿宋_GB2312" w:eastAsia="仿宋_GB2312"/>
          <w:color w:val="FF0000"/>
          <w:sz w:val="34"/>
          <w:szCs w:val="34"/>
          <w:lang w:eastAsia="zh-CN"/>
        </w:rPr>
      </w:pPr>
      <w:r>
        <w:rPr>
          <w:rFonts w:hint="eastAsia" w:ascii="仿宋_GB2312" w:eastAsia="仿宋_GB2312"/>
          <w:color w:val="FF0000"/>
          <w:sz w:val="34"/>
          <w:szCs w:val="34"/>
          <w:lang w:eastAsia="zh-CN"/>
        </w:rPr>
        <w:t>台山市妇幼保健院</w:t>
      </w:r>
    </w:p>
    <w:p w14:paraId="76BE4E67">
      <w:pPr>
        <w:keepNext w:val="0"/>
        <w:keepLines w:val="0"/>
        <w:pageBreakBefore w:val="0"/>
        <w:kinsoku/>
        <w:wordWrap/>
        <w:overflowPunct/>
        <w:topLinePunct w:val="0"/>
        <w:autoSpaceDE/>
        <w:autoSpaceDN/>
        <w:bidi w:val="0"/>
        <w:adjustRightInd/>
        <w:snapToGrid/>
        <w:spacing w:line="560" w:lineRule="exact"/>
        <w:jc w:val="right"/>
        <w:textAlignment w:val="auto"/>
        <w:rPr>
          <w:rFonts w:hint="default" w:ascii="仿宋_GB2312" w:hAnsi="仿宋_GB2312" w:eastAsia="仿宋_GB2312" w:cs="仿宋_GB2312"/>
          <w:sz w:val="32"/>
          <w:szCs w:val="32"/>
          <w:lang w:val="en-US" w:eastAsia="zh-CN"/>
        </w:rPr>
      </w:pPr>
      <w:r>
        <w:rPr>
          <w:rFonts w:hint="eastAsia" w:ascii="仿宋_GB2312" w:eastAsia="仿宋_GB2312"/>
          <w:color w:val="FF0000"/>
          <w:sz w:val="34"/>
          <w:szCs w:val="34"/>
          <w:lang w:val="en-US" w:eastAsia="zh-CN"/>
        </w:rPr>
        <w:t>2026年8月7日</w:t>
      </w:r>
    </w:p>
    <w:p w14:paraId="34D9D625">
      <w:pPr>
        <w:keepNext w:val="0"/>
        <w:keepLines w:val="0"/>
        <w:pageBreakBefore w:val="0"/>
        <w:kinsoku/>
        <w:wordWrap/>
        <w:overflowPunct/>
        <w:topLinePunct w:val="0"/>
        <w:autoSpaceDE/>
        <w:autoSpaceDN/>
        <w:bidi w:val="0"/>
        <w:adjustRightInd/>
        <w:snapToGrid/>
        <w:spacing w:line="560" w:lineRule="exact"/>
        <w:jc w:val="right"/>
        <w:textAlignment w:val="auto"/>
        <w:rPr>
          <w:rFonts w:hint="default" w:ascii="仿宋_GB2312" w:hAnsi="仿宋_GB2312" w:eastAsia="仿宋_GB2312" w:cs="仿宋_GB2312"/>
          <w:sz w:val="32"/>
          <w:szCs w:val="32"/>
          <w:lang w:val="en-US" w:eastAsia="zh-CN"/>
        </w:rPr>
      </w:pPr>
    </w:p>
    <w:p w14:paraId="7F4DFDDA"/>
    <w:p w14:paraId="274C850C"/>
    <w:p w14:paraId="17D1A931"/>
    <w:p w14:paraId="11CD0A89"/>
    <w:p w14:paraId="191F9A7D"/>
    <w:p w14:paraId="31E3C278"/>
    <w:p w14:paraId="5D8C0988"/>
    <w:p w14:paraId="07A7A7A5"/>
    <w:p w14:paraId="68432464"/>
    <w:p w14:paraId="72E2FD8A"/>
    <w:p w14:paraId="0B8D27D8"/>
    <w:p w14:paraId="57F86FAC"/>
    <w:p w14:paraId="4EE3B140"/>
    <w:p w14:paraId="53690707"/>
    <w:p w14:paraId="0678C806"/>
    <w:p w14:paraId="3EF9BAF2"/>
    <w:p w14:paraId="6C5CD9B3"/>
    <w:p w14:paraId="6C058342"/>
    <w:tbl>
      <w:tblPr>
        <w:tblStyle w:val="2"/>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09"/>
        <w:gridCol w:w="1334"/>
        <w:gridCol w:w="2309"/>
        <w:gridCol w:w="1323"/>
        <w:gridCol w:w="838"/>
        <w:gridCol w:w="907"/>
        <w:gridCol w:w="1524"/>
        <w:gridCol w:w="417"/>
      </w:tblGrid>
      <w:tr w14:paraId="629998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2" w:hRule="atLeast"/>
        </w:trPr>
        <w:tc>
          <w:tcPr>
            <w:tcW w:w="225" w:type="pct"/>
            <w:tcBorders>
              <w:top w:val="nil"/>
              <w:left w:val="nil"/>
              <w:bottom w:val="nil"/>
              <w:right w:val="nil"/>
            </w:tcBorders>
            <w:shd w:val="clear" w:color="auto" w:fill="auto"/>
            <w:noWrap/>
            <w:vAlign w:val="center"/>
          </w:tcPr>
          <w:p w14:paraId="391DAD9A">
            <w:pPr>
              <w:keepNext w:val="0"/>
              <w:keepLines w:val="0"/>
              <w:widowControl/>
              <w:suppressLineNumbers w:val="0"/>
              <w:jc w:val="left"/>
              <w:textAlignment w:val="center"/>
              <w:rPr>
                <w:rFonts w:ascii="黑体" w:hAnsi="宋体" w:eastAsia="黑体" w:cs="黑体"/>
                <w:i w:val="0"/>
                <w:iCs w:val="0"/>
                <w:color w:val="000000"/>
                <w:sz w:val="28"/>
                <w:szCs w:val="28"/>
                <w:u w:val="none"/>
              </w:rPr>
            </w:pPr>
          </w:p>
        </w:tc>
        <w:tc>
          <w:tcPr>
            <w:tcW w:w="736" w:type="pct"/>
            <w:tcBorders>
              <w:top w:val="nil"/>
              <w:left w:val="nil"/>
              <w:bottom w:val="nil"/>
              <w:right w:val="nil"/>
            </w:tcBorders>
            <w:shd w:val="clear" w:color="auto" w:fill="auto"/>
            <w:noWrap/>
            <w:vAlign w:val="center"/>
          </w:tcPr>
          <w:p w14:paraId="0528C0FA">
            <w:pPr>
              <w:rPr>
                <w:rFonts w:hint="eastAsia" w:ascii="宋体" w:hAnsi="宋体" w:eastAsia="宋体" w:cs="宋体"/>
                <w:i w:val="0"/>
                <w:iCs w:val="0"/>
                <w:color w:val="000000"/>
                <w:sz w:val="22"/>
                <w:szCs w:val="22"/>
                <w:u w:val="none"/>
              </w:rPr>
            </w:pPr>
          </w:p>
        </w:tc>
        <w:tc>
          <w:tcPr>
            <w:tcW w:w="1274" w:type="pct"/>
            <w:tcBorders>
              <w:top w:val="nil"/>
              <w:left w:val="nil"/>
              <w:bottom w:val="nil"/>
              <w:right w:val="nil"/>
            </w:tcBorders>
            <w:shd w:val="clear" w:color="auto" w:fill="auto"/>
            <w:noWrap/>
            <w:vAlign w:val="center"/>
          </w:tcPr>
          <w:p w14:paraId="18F049BD">
            <w:pPr>
              <w:rPr>
                <w:rFonts w:hint="eastAsia" w:ascii="宋体" w:hAnsi="宋体" w:eastAsia="宋体" w:cs="宋体"/>
                <w:i w:val="0"/>
                <w:iCs w:val="0"/>
                <w:color w:val="000000"/>
                <w:sz w:val="22"/>
                <w:szCs w:val="22"/>
                <w:u w:val="none"/>
              </w:rPr>
            </w:pPr>
          </w:p>
        </w:tc>
        <w:tc>
          <w:tcPr>
            <w:tcW w:w="730" w:type="pct"/>
            <w:tcBorders>
              <w:top w:val="nil"/>
              <w:left w:val="nil"/>
              <w:bottom w:val="nil"/>
              <w:right w:val="nil"/>
            </w:tcBorders>
            <w:shd w:val="clear" w:color="auto" w:fill="auto"/>
            <w:noWrap/>
            <w:vAlign w:val="center"/>
          </w:tcPr>
          <w:p w14:paraId="417D22B8">
            <w:pPr>
              <w:rPr>
                <w:rFonts w:hint="eastAsia" w:ascii="宋体" w:hAnsi="宋体" w:eastAsia="宋体" w:cs="宋体"/>
                <w:i w:val="0"/>
                <w:iCs w:val="0"/>
                <w:color w:val="000000"/>
                <w:sz w:val="22"/>
                <w:szCs w:val="22"/>
                <w:u w:val="none"/>
              </w:rPr>
            </w:pPr>
          </w:p>
        </w:tc>
        <w:tc>
          <w:tcPr>
            <w:tcW w:w="462" w:type="pct"/>
            <w:tcBorders>
              <w:top w:val="nil"/>
              <w:left w:val="nil"/>
              <w:bottom w:val="nil"/>
              <w:right w:val="nil"/>
            </w:tcBorders>
            <w:shd w:val="clear" w:color="auto" w:fill="auto"/>
            <w:noWrap/>
            <w:vAlign w:val="center"/>
          </w:tcPr>
          <w:p w14:paraId="62F33F3B">
            <w:pPr>
              <w:rPr>
                <w:rFonts w:hint="eastAsia" w:ascii="宋体" w:hAnsi="宋体" w:eastAsia="宋体" w:cs="宋体"/>
                <w:i w:val="0"/>
                <w:iCs w:val="0"/>
                <w:color w:val="000000"/>
                <w:sz w:val="22"/>
                <w:szCs w:val="22"/>
                <w:u w:val="none"/>
              </w:rPr>
            </w:pPr>
          </w:p>
        </w:tc>
        <w:tc>
          <w:tcPr>
            <w:tcW w:w="500" w:type="pct"/>
            <w:tcBorders>
              <w:top w:val="nil"/>
              <w:left w:val="nil"/>
              <w:bottom w:val="nil"/>
              <w:right w:val="nil"/>
            </w:tcBorders>
            <w:shd w:val="clear" w:color="auto" w:fill="auto"/>
            <w:noWrap/>
            <w:vAlign w:val="center"/>
          </w:tcPr>
          <w:p w14:paraId="2849AD81">
            <w:pPr>
              <w:rPr>
                <w:rFonts w:hint="eastAsia" w:ascii="宋体" w:hAnsi="宋体" w:eastAsia="宋体" w:cs="宋体"/>
                <w:i w:val="0"/>
                <w:iCs w:val="0"/>
                <w:color w:val="000000"/>
                <w:sz w:val="22"/>
                <w:szCs w:val="22"/>
                <w:u w:val="none"/>
              </w:rPr>
            </w:pPr>
          </w:p>
        </w:tc>
        <w:tc>
          <w:tcPr>
            <w:tcW w:w="840" w:type="pct"/>
            <w:tcBorders>
              <w:top w:val="nil"/>
              <w:left w:val="nil"/>
              <w:bottom w:val="nil"/>
              <w:right w:val="nil"/>
            </w:tcBorders>
            <w:shd w:val="clear" w:color="auto" w:fill="auto"/>
            <w:noWrap/>
            <w:vAlign w:val="center"/>
          </w:tcPr>
          <w:p w14:paraId="56DB3877">
            <w:pPr>
              <w:rPr>
                <w:rFonts w:hint="eastAsia" w:ascii="宋体" w:hAnsi="宋体" w:eastAsia="宋体" w:cs="宋体"/>
                <w:i w:val="0"/>
                <w:iCs w:val="0"/>
                <w:color w:val="000000"/>
                <w:sz w:val="22"/>
                <w:szCs w:val="22"/>
                <w:u w:val="none"/>
              </w:rPr>
            </w:pPr>
          </w:p>
        </w:tc>
        <w:tc>
          <w:tcPr>
            <w:tcW w:w="230" w:type="pct"/>
            <w:tcBorders>
              <w:top w:val="nil"/>
              <w:left w:val="nil"/>
              <w:bottom w:val="nil"/>
              <w:right w:val="nil"/>
            </w:tcBorders>
            <w:shd w:val="clear" w:color="auto" w:fill="auto"/>
            <w:noWrap/>
            <w:vAlign w:val="center"/>
          </w:tcPr>
          <w:p w14:paraId="7508EB42">
            <w:pPr>
              <w:rPr>
                <w:rFonts w:hint="eastAsia" w:ascii="宋体" w:hAnsi="宋体" w:eastAsia="宋体" w:cs="宋体"/>
                <w:i w:val="0"/>
                <w:iCs w:val="0"/>
                <w:color w:val="000000"/>
                <w:sz w:val="22"/>
                <w:szCs w:val="22"/>
                <w:u w:val="none"/>
              </w:rPr>
            </w:pPr>
          </w:p>
        </w:tc>
      </w:tr>
      <w:tr w14:paraId="7EE564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5000" w:type="pct"/>
            <w:gridSpan w:val="8"/>
            <w:tcBorders>
              <w:top w:val="nil"/>
              <w:left w:val="nil"/>
              <w:bottom w:val="nil"/>
              <w:right w:val="nil"/>
            </w:tcBorders>
            <w:shd w:val="clear" w:color="auto" w:fill="auto"/>
            <w:noWrap/>
            <w:vAlign w:val="center"/>
          </w:tcPr>
          <w:p w14:paraId="735416BF">
            <w:pPr>
              <w:keepNext w:val="0"/>
              <w:keepLines w:val="0"/>
              <w:widowControl/>
              <w:suppressLineNumbers w:val="0"/>
              <w:jc w:val="center"/>
              <w:textAlignment w:val="center"/>
              <w:rPr>
                <w:rFonts w:ascii="方正小标宋简体" w:hAnsi="方正小标宋简体" w:eastAsia="方正小标宋简体" w:cs="方正小标宋简体"/>
                <w:i w:val="0"/>
                <w:iCs w:val="0"/>
                <w:color w:val="000000"/>
                <w:sz w:val="36"/>
                <w:szCs w:val="36"/>
                <w:u w:val="none"/>
              </w:rPr>
            </w:pPr>
            <w:r>
              <w:rPr>
                <w:rFonts w:hint="default" w:ascii="方正小标宋简体" w:hAnsi="方正小标宋简体" w:eastAsia="方正小标宋简体" w:cs="方正小标宋简体"/>
                <w:i w:val="0"/>
                <w:iCs w:val="0"/>
                <w:color w:val="000000"/>
                <w:kern w:val="0"/>
                <w:sz w:val="36"/>
                <w:szCs w:val="36"/>
                <w:u w:val="none"/>
                <w:lang w:val="en-US" w:eastAsia="zh-CN" w:bidi="ar"/>
              </w:rPr>
              <w:t>采购意向公开情况表</w:t>
            </w:r>
          </w:p>
        </w:tc>
      </w:tr>
      <w:tr w14:paraId="27208C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6" w:hRule="atLeast"/>
        </w:trPr>
        <w:tc>
          <w:tcPr>
            <w:tcW w:w="2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5AA5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7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0307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采购单位</w:t>
            </w:r>
          </w:p>
        </w:tc>
        <w:tc>
          <w:tcPr>
            <w:tcW w:w="12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F939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采购项目名称</w:t>
            </w:r>
          </w:p>
        </w:tc>
        <w:tc>
          <w:tcPr>
            <w:tcW w:w="7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F363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采购品目</w:t>
            </w: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C170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采购需求概况</w:t>
            </w:r>
          </w:p>
        </w:tc>
        <w:tc>
          <w:tcPr>
            <w:tcW w:w="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7E43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预算金额</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（万元）</w:t>
            </w:r>
          </w:p>
        </w:tc>
        <w:tc>
          <w:tcPr>
            <w:tcW w:w="8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B1BB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预计</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采购日期</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2B4F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备注</w:t>
            </w:r>
          </w:p>
        </w:tc>
      </w:tr>
      <w:tr w14:paraId="2C83A2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7" w:hRule="atLeast"/>
        </w:trPr>
        <w:tc>
          <w:tcPr>
            <w:tcW w:w="2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B8B2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7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ED249C">
            <w:pPr>
              <w:keepNext w:val="0"/>
              <w:keepLines w:val="0"/>
              <w:widowControl/>
              <w:suppressLineNumbers w:val="0"/>
              <w:jc w:val="left"/>
              <w:textAlignment w:val="center"/>
              <w:rPr>
                <w:rFonts w:ascii="微软雅黑" w:hAnsi="微软雅黑" w:eastAsia="微软雅黑" w:cs="微软雅黑"/>
                <w:b/>
                <w:bCs/>
                <w:i w:val="0"/>
                <w:iCs w:val="0"/>
                <w:color w:val="383838"/>
                <w:sz w:val="21"/>
                <w:szCs w:val="21"/>
                <w:u w:val="none"/>
              </w:rPr>
            </w:pPr>
            <w:r>
              <w:rPr>
                <w:rFonts w:hint="eastAsia" w:ascii="微软雅黑" w:hAnsi="微软雅黑" w:eastAsia="微软雅黑" w:cs="微软雅黑"/>
                <w:b/>
                <w:bCs/>
                <w:i w:val="0"/>
                <w:iCs w:val="0"/>
                <w:color w:val="383838"/>
                <w:kern w:val="0"/>
                <w:sz w:val="21"/>
                <w:szCs w:val="21"/>
                <w:u w:val="none"/>
                <w:lang w:val="en-US" w:eastAsia="zh-CN" w:bidi="ar"/>
              </w:rPr>
              <w:t>台山市妇幼保健院</w:t>
            </w:r>
          </w:p>
        </w:tc>
        <w:tc>
          <w:tcPr>
            <w:tcW w:w="1274" w:type="pct"/>
            <w:tcBorders>
              <w:top w:val="single" w:color="000000" w:sz="4" w:space="0"/>
              <w:left w:val="single" w:color="000000" w:sz="4" w:space="0"/>
              <w:bottom w:val="single" w:color="000000" w:sz="4" w:space="0"/>
              <w:right w:val="single" w:color="000000" w:sz="4" w:space="0"/>
            </w:tcBorders>
            <w:shd w:val="clear" w:color="auto" w:fill="auto"/>
            <w:vAlign w:val="top"/>
          </w:tcPr>
          <w:p w14:paraId="4062F253">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微软雅黑" w:hAnsi="微软雅黑" w:eastAsia="微软雅黑" w:cs="微软雅黑"/>
                <w:i w:val="0"/>
                <w:iCs w:val="0"/>
                <w:color w:val="000000"/>
                <w:sz w:val="28"/>
                <w:szCs w:val="28"/>
                <w:u w:val="none"/>
                <w:lang w:val="en-US" w:eastAsia="zh-CN"/>
              </w:rPr>
            </w:pPr>
          </w:p>
          <w:p w14:paraId="1D6800C7">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32"/>
                <w:szCs w:val="32"/>
                <w:u w:val="none"/>
                <w:lang w:val="en-US" w:eastAsia="zh-CN"/>
              </w:rPr>
              <w:t>彩色超声诊断仪</w:t>
            </w:r>
          </w:p>
        </w:tc>
        <w:tc>
          <w:tcPr>
            <w:tcW w:w="7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1F6595">
            <w:pPr>
              <w:jc w:val="center"/>
              <w:rPr>
                <w:rFonts w:hint="eastAsia" w:ascii="宋体" w:hAnsi="宋体" w:eastAsia="宋体" w:cs="宋体"/>
                <w:i w:val="0"/>
                <w:iCs w:val="0"/>
                <w:color w:val="000000"/>
                <w:sz w:val="22"/>
                <w:szCs w:val="22"/>
                <w:u w:val="none"/>
              </w:rPr>
            </w:pPr>
            <w:r>
              <w:rPr>
                <w:rFonts w:hint="eastAsia" w:ascii="仿宋" w:hAnsi="仿宋" w:eastAsia="仿宋" w:cs="Cabin-Regular"/>
                <w:color w:val="auto"/>
                <w:kern w:val="0"/>
                <w:sz w:val="32"/>
                <w:szCs w:val="32"/>
                <w:lang w:val="en-US" w:eastAsia="zh-CN"/>
              </w:rPr>
              <w:t>A02320500</w:t>
            </w: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34F2B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详见项目详情</w:t>
            </w:r>
          </w:p>
        </w:tc>
        <w:tc>
          <w:tcPr>
            <w:tcW w:w="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D33143">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约300</w:t>
            </w:r>
          </w:p>
        </w:tc>
        <w:tc>
          <w:tcPr>
            <w:tcW w:w="8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6AECC7">
            <w:pPr>
              <w:keepNext w:val="0"/>
              <w:keepLines w:val="0"/>
              <w:widowControl/>
              <w:suppressLineNumbers w:val="0"/>
              <w:jc w:val="right"/>
              <w:textAlignment w:val="center"/>
              <w:rPr>
                <w:rFonts w:hint="eastAsia" w:ascii="微软雅黑" w:hAnsi="微软雅黑" w:eastAsia="微软雅黑" w:cs="微软雅黑"/>
                <w:b/>
                <w:bCs/>
                <w:i w:val="0"/>
                <w:iCs w:val="0"/>
                <w:color w:val="383838"/>
                <w:sz w:val="21"/>
                <w:szCs w:val="21"/>
                <w:u w:val="none"/>
              </w:rPr>
            </w:pPr>
            <w:r>
              <w:rPr>
                <w:rFonts w:hint="eastAsia" w:ascii="微软雅黑" w:hAnsi="微软雅黑" w:eastAsia="微软雅黑" w:cs="微软雅黑"/>
                <w:b/>
                <w:bCs/>
                <w:i w:val="0"/>
                <w:iCs w:val="0"/>
                <w:color w:val="383838"/>
                <w:kern w:val="0"/>
                <w:sz w:val="21"/>
                <w:szCs w:val="21"/>
                <w:u w:val="none"/>
                <w:lang w:val="en-US" w:eastAsia="zh-CN" w:bidi="ar"/>
              </w:rPr>
              <w:t>2026年9月</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0DB35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详见项目详情</w:t>
            </w:r>
          </w:p>
        </w:tc>
      </w:tr>
      <w:tr w14:paraId="0C14BD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5" w:hRule="atLeast"/>
        </w:trPr>
        <w:tc>
          <w:tcPr>
            <w:tcW w:w="5000" w:type="pct"/>
            <w:gridSpan w:val="8"/>
            <w:tcBorders>
              <w:top w:val="nil"/>
              <w:left w:val="nil"/>
              <w:bottom w:val="nil"/>
              <w:right w:val="nil"/>
            </w:tcBorders>
            <w:shd w:val="clear" w:color="auto" w:fill="auto"/>
            <w:vAlign w:val="center"/>
          </w:tcPr>
          <w:p w14:paraId="5926E58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本次公开的采购意向是本单位政府采购工作的初步安排， 具体采购项目情况以相关采购公告和采购文件为准。如有采购意向可提供相关资料和报价。</w:t>
            </w:r>
          </w:p>
        </w:tc>
      </w:tr>
      <w:tr w14:paraId="15BFFF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1" w:hRule="atLeast"/>
        </w:trPr>
        <w:tc>
          <w:tcPr>
            <w:tcW w:w="225" w:type="pct"/>
            <w:tcBorders>
              <w:top w:val="nil"/>
              <w:left w:val="nil"/>
              <w:bottom w:val="nil"/>
              <w:right w:val="nil"/>
            </w:tcBorders>
            <w:shd w:val="clear" w:color="auto" w:fill="auto"/>
            <w:vAlign w:val="center"/>
          </w:tcPr>
          <w:p w14:paraId="0E9249E2">
            <w:pPr>
              <w:jc w:val="left"/>
              <w:rPr>
                <w:rFonts w:hint="eastAsia" w:ascii="宋体" w:hAnsi="宋体" w:eastAsia="宋体" w:cs="宋体"/>
                <w:i w:val="0"/>
                <w:iCs w:val="0"/>
                <w:color w:val="000000"/>
                <w:sz w:val="22"/>
                <w:szCs w:val="22"/>
                <w:u w:val="none"/>
              </w:rPr>
            </w:pPr>
          </w:p>
        </w:tc>
        <w:tc>
          <w:tcPr>
            <w:tcW w:w="736" w:type="pct"/>
            <w:tcBorders>
              <w:top w:val="nil"/>
              <w:left w:val="nil"/>
              <w:bottom w:val="nil"/>
              <w:right w:val="nil"/>
            </w:tcBorders>
            <w:shd w:val="clear" w:color="auto" w:fill="auto"/>
            <w:vAlign w:val="center"/>
          </w:tcPr>
          <w:p w14:paraId="23023995">
            <w:pPr>
              <w:jc w:val="left"/>
              <w:rPr>
                <w:rFonts w:hint="eastAsia" w:ascii="宋体" w:hAnsi="宋体" w:eastAsia="宋体" w:cs="宋体"/>
                <w:i w:val="0"/>
                <w:iCs w:val="0"/>
                <w:color w:val="000000"/>
                <w:sz w:val="22"/>
                <w:szCs w:val="22"/>
                <w:u w:val="none"/>
              </w:rPr>
            </w:pPr>
          </w:p>
        </w:tc>
        <w:tc>
          <w:tcPr>
            <w:tcW w:w="1274" w:type="pct"/>
            <w:tcBorders>
              <w:top w:val="nil"/>
              <w:left w:val="nil"/>
              <w:bottom w:val="nil"/>
              <w:right w:val="nil"/>
            </w:tcBorders>
            <w:shd w:val="clear" w:color="auto" w:fill="auto"/>
            <w:vAlign w:val="center"/>
          </w:tcPr>
          <w:p w14:paraId="2A8F3ED0">
            <w:pPr>
              <w:jc w:val="left"/>
              <w:rPr>
                <w:rFonts w:hint="eastAsia" w:ascii="宋体" w:hAnsi="宋体" w:eastAsia="宋体" w:cs="宋体"/>
                <w:i w:val="0"/>
                <w:iCs w:val="0"/>
                <w:color w:val="000000"/>
                <w:sz w:val="22"/>
                <w:szCs w:val="22"/>
                <w:u w:val="none"/>
              </w:rPr>
            </w:pPr>
          </w:p>
        </w:tc>
        <w:tc>
          <w:tcPr>
            <w:tcW w:w="730" w:type="pct"/>
            <w:tcBorders>
              <w:top w:val="nil"/>
              <w:left w:val="nil"/>
              <w:bottom w:val="nil"/>
              <w:right w:val="nil"/>
            </w:tcBorders>
            <w:shd w:val="clear" w:color="auto" w:fill="auto"/>
            <w:vAlign w:val="center"/>
          </w:tcPr>
          <w:p w14:paraId="1EF5BF38">
            <w:pPr>
              <w:jc w:val="left"/>
              <w:rPr>
                <w:rFonts w:hint="eastAsia" w:ascii="宋体" w:hAnsi="宋体" w:eastAsia="宋体" w:cs="宋体"/>
                <w:i w:val="0"/>
                <w:iCs w:val="0"/>
                <w:color w:val="000000"/>
                <w:sz w:val="22"/>
                <w:szCs w:val="22"/>
                <w:u w:val="none"/>
              </w:rPr>
            </w:pPr>
          </w:p>
        </w:tc>
        <w:tc>
          <w:tcPr>
            <w:tcW w:w="462" w:type="pct"/>
            <w:tcBorders>
              <w:top w:val="nil"/>
              <w:left w:val="nil"/>
              <w:bottom w:val="nil"/>
              <w:right w:val="nil"/>
            </w:tcBorders>
            <w:shd w:val="clear" w:color="auto" w:fill="auto"/>
            <w:vAlign w:val="center"/>
          </w:tcPr>
          <w:p w14:paraId="48EF21F5">
            <w:pPr>
              <w:jc w:val="left"/>
              <w:rPr>
                <w:rFonts w:hint="eastAsia" w:ascii="宋体" w:hAnsi="宋体" w:eastAsia="宋体" w:cs="宋体"/>
                <w:i w:val="0"/>
                <w:iCs w:val="0"/>
                <w:color w:val="000000"/>
                <w:sz w:val="22"/>
                <w:szCs w:val="22"/>
                <w:u w:val="none"/>
              </w:rPr>
            </w:pPr>
          </w:p>
        </w:tc>
        <w:tc>
          <w:tcPr>
            <w:tcW w:w="500" w:type="pct"/>
            <w:tcBorders>
              <w:top w:val="nil"/>
              <w:left w:val="nil"/>
              <w:bottom w:val="nil"/>
              <w:right w:val="nil"/>
            </w:tcBorders>
            <w:shd w:val="clear" w:color="auto" w:fill="auto"/>
            <w:vAlign w:val="center"/>
          </w:tcPr>
          <w:p w14:paraId="74B2B84C">
            <w:pPr>
              <w:jc w:val="left"/>
              <w:rPr>
                <w:rFonts w:hint="eastAsia" w:ascii="宋体" w:hAnsi="宋体" w:eastAsia="宋体" w:cs="宋体"/>
                <w:i w:val="0"/>
                <w:iCs w:val="0"/>
                <w:color w:val="000000"/>
                <w:sz w:val="22"/>
                <w:szCs w:val="22"/>
                <w:u w:val="none"/>
              </w:rPr>
            </w:pPr>
          </w:p>
        </w:tc>
        <w:tc>
          <w:tcPr>
            <w:tcW w:w="840" w:type="pct"/>
            <w:tcBorders>
              <w:top w:val="nil"/>
              <w:left w:val="nil"/>
              <w:bottom w:val="nil"/>
              <w:right w:val="nil"/>
            </w:tcBorders>
            <w:shd w:val="clear" w:color="auto" w:fill="auto"/>
            <w:vAlign w:val="center"/>
          </w:tcPr>
          <w:p w14:paraId="71D32779">
            <w:pPr>
              <w:jc w:val="left"/>
              <w:rPr>
                <w:rFonts w:hint="eastAsia" w:ascii="宋体" w:hAnsi="宋体" w:eastAsia="宋体" w:cs="宋体"/>
                <w:i w:val="0"/>
                <w:iCs w:val="0"/>
                <w:color w:val="000000"/>
                <w:sz w:val="22"/>
                <w:szCs w:val="22"/>
                <w:u w:val="none"/>
              </w:rPr>
            </w:pPr>
          </w:p>
        </w:tc>
        <w:tc>
          <w:tcPr>
            <w:tcW w:w="230" w:type="pct"/>
            <w:tcBorders>
              <w:top w:val="nil"/>
              <w:left w:val="nil"/>
              <w:bottom w:val="nil"/>
              <w:right w:val="nil"/>
            </w:tcBorders>
            <w:shd w:val="clear" w:color="auto" w:fill="auto"/>
            <w:vAlign w:val="center"/>
          </w:tcPr>
          <w:p w14:paraId="212432BF">
            <w:pPr>
              <w:jc w:val="left"/>
              <w:rPr>
                <w:rFonts w:hint="eastAsia" w:ascii="宋体" w:hAnsi="宋体" w:eastAsia="宋体" w:cs="宋体"/>
                <w:i w:val="0"/>
                <w:iCs w:val="0"/>
                <w:color w:val="000000"/>
                <w:sz w:val="22"/>
                <w:szCs w:val="22"/>
                <w:u w:val="none"/>
              </w:rPr>
            </w:pPr>
          </w:p>
        </w:tc>
      </w:tr>
      <w:tr w14:paraId="7955C7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1" w:hRule="atLeast"/>
        </w:trPr>
        <w:tc>
          <w:tcPr>
            <w:tcW w:w="225" w:type="pct"/>
            <w:tcBorders>
              <w:top w:val="nil"/>
              <w:left w:val="nil"/>
              <w:bottom w:val="nil"/>
              <w:right w:val="nil"/>
            </w:tcBorders>
            <w:shd w:val="clear" w:color="auto" w:fill="auto"/>
            <w:noWrap/>
            <w:vAlign w:val="center"/>
          </w:tcPr>
          <w:p w14:paraId="0E2C21CB">
            <w:pPr>
              <w:rPr>
                <w:rFonts w:hint="eastAsia" w:ascii="宋体" w:hAnsi="宋体" w:eastAsia="宋体" w:cs="宋体"/>
                <w:i w:val="0"/>
                <w:iCs w:val="0"/>
                <w:color w:val="000000"/>
                <w:sz w:val="22"/>
                <w:szCs w:val="22"/>
                <w:u w:val="none"/>
              </w:rPr>
            </w:pPr>
          </w:p>
        </w:tc>
        <w:tc>
          <w:tcPr>
            <w:tcW w:w="4544" w:type="pct"/>
            <w:gridSpan w:val="6"/>
            <w:tcBorders>
              <w:top w:val="nil"/>
              <w:left w:val="nil"/>
              <w:bottom w:val="nil"/>
              <w:right w:val="nil"/>
            </w:tcBorders>
            <w:shd w:val="clear" w:color="auto" w:fill="auto"/>
            <w:noWrap/>
            <w:vAlign w:val="center"/>
          </w:tcPr>
          <w:p w14:paraId="17EA4994">
            <w:pPr>
              <w:rPr>
                <w:rFonts w:hint="eastAsia" w:ascii="宋体" w:hAnsi="宋体" w:eastAsia="宋体" w:cs="宋体"/>
                <w:i w:val="0"/>
                <w:iCs w:val="0"/>
                <w:color w:val="000000"/>
                <w:sz w:val="22"/>
                <w:szCs w:val="22"/>
                <w:u w:val="none"/>
              </w:rPr>
            </w:pPr>
            <w:r>
              <w:rPr>
                <w:rStyle w:val="7"/>
                <w:lang w:val="en-US" w:eastAsia="zh-CN" w:bidi="ar"/>
              </w:rPr>
              <w:t>（联系人：</w:t>
            </w:r>
            <w:r>
              <w:rPr>
                <w:rStyle w:val="7"/>
                <w:rFonts w:hint="eastAsia" w:eastAsia="宋体"/>
                <w:lang w:val="en-US" w:eastAsia="zh-CN" w:bidi="ar"/>
              </w:rPr>
              <w:t>杨工、</w:t>
            </w:r>
            <w:r>
              <w:rPr>
                <w:rStyle w:val="7"/>
                <w:lang w:val="en-US" w:eastAsia="zh-CN" w:bidi="ar"/>
              </w:rPr>
              <w:t>郭工，联系电话：</w:t>
            </w:r>
            <w:r>
              <w:rPr>
                <w:rStyle w:val="8"/>
                <w:lang w:val="en-US" w:eastAsia="zh-CN" w:bidi="ar"/>
              </w:rPr>
              <w:t xml:space="preserve">0750-5559361  </w:t>
            </w:r>
            <w:r>
              <w:rPr>
                <w:rStyle w:val="7"/>
                <w:lang w:val="en-US" w:eastAsia="zh-CN" w:bidi="ar"/>
              </w:rPr>
              <w:t>）</w:t>
            </w:r>
          </w:p>
        </w:tc>
        <w:tc>
          <w:tcPr>
            <w:tcW w:w="230" w:type="pct"/>
            <w:tcBorders>
              <w:top w:val="nil"/>
              <w:left w:val="nil"/>
              <w:bottom w:val="nil"/>
              <w:right w:val="nil"/>
            </w:tcBorders>
            <w:shd w:val="clear" w:color="auto" w:fill="auto"/>
            <w:noWrap/>
            <w:vAlign w:val="center"/>
          </w:tcPr>
          <w:p w14:paraId="6C2FA44F">
            <w:pPr>
              <w:rPr>
                <w:rFonts w:hint="eastAsia" w:ascii="宋体" w:hAnsi="宋体" w:eastAsia="宋体" w:cs="宋体"/>
                <w:i w:val="0"/>
                <w:iCs w:val="0"/>
                <w:color w:val="000000"/>
                <w:sz w:val="22"/>
                <w:szCs w:val="22"/>
                <w:u w:val="none"/>
              </w:rPr>
            </w:pPr>
          </w:p>
        </w:tc>
      </w:tr>
      <w:tr w14:paraId="12CE64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1" w:hRule="atLeast"/>
        </w:trPr>
        <w:tc>
          <w:tcPr>
            <w:tcW w:w="225" w:type="pct"/>
            <w:tcBorders>
              <w:top w:val="nil"/>
              <w:left w:val="nil"/>
              <w:bottom w:val="nil"/>
              <w:right w:val="nil"/>
            </w:tcBorders>
            <w:shd w:val="clear" w:color="auto" w:fill="auto"/>
            <w:noWrap/>
            <w:vAlign w:val="center"/>
          </w:tcPr>
          <w:p w14:paraId="748F5052">
            <w:pPr>
              <w:rPr>
                <w:rFonts w:hint="eastAsia" w:ascii="宋体" w:hAnsi="宋体" w:eastAsia="宋体" w:cs="宋体"/>
                <w:i w:val="0"/>
                <w:iCs w:val="0"/>
                <w:color w:val="000000"/>
                <w:sz w:val="22"/>
                <w:szCs w:val="22"/>
                <w:u w:val="none"/>
              </w:rPr>
            </w:pPr>
          </w:p>
        </w:tc>
        <w:tc>
          <w:tcPr>
            <w:tcW w:w="736" w:type="pct"/>
            <w:tcBorders>
              <w:top w:val="nil"/>
              <w:left w:val="nil"/>
              <w:bottom w:val="nil"/>
              <w:right w:val="nil"/>
            </w:tcBorders>
            <w:shd w:val="clear" w:color="auto" w:fill="auto"/>
            <w:noWrap/>
            <w:vAlign w:val="center"/>
          </w:tcPr>
          <w:p w14:paraId="70CA91E9">
            <w:pPr>
              <w:rPr>
                <w:rFonts w:hint="eastAsia" w:ascii="宋体" w:hAnsi="宋体" w:eastAsia="宋体" w:cs="宋体"/>
                <w:i w:val="0"/>
                <w:iCs w:val="0"/>
                <w:color w:val="000000"/>
                <w:sz w:val="22"/>
                <w:szCs w:val="22"/>
                <w:u w:val="none"/>
              </w:rPr>
            </w:pPr>
          </w:p>
        </w:tc>
        <w:tc>
          <w:tcPr>
            <w:tcW w:w="1274" w:type="pct"/>
            <w:tcBorders>
              <w:top w:val="nil"/>
              <w:left w:val="nil"/>
              <w:bottom w:val="nil"/>
              <w:right w:val="nil"/>
            </w:tcBorders>
            <w:shd w:val="clear" w:color="auto" w:fill="auto"/>
            <w:noWrap/>
            <w:vAlign w:val="center"/>
          </w:tcPr>
          <w:p w14:paraId="639461F0">
            <w:pPr>
              <w:rPr>
                <w:rFonts w:hint="eastAsia" w:ascii="宋体" w:hAnsi="宋体" w:eastAsia="宋体" w:cs="宋体"/>
                <w:i w:val="0"/>
                <w:iCs w:val="0"/>
                <w:color w:val="000000"/>
                <w:sz w:val="22"/>
                <w:szCs w:val="22"/>
                <w:u w:val="none"/>
              </w:rPr>
            </w:pPr>
          </w:p>
        </w:tc>
        <w:tc>
          <w:tcPr>
            <w:tcW w:w="730" w:type="pct"/>
            <w:tcBorders>
              <w:top w:val="nil"/>
              <w:left w:val="nil"/>
              <w:bottom w:val="nil"/>
              <w:right w:val="nil"/>
            </w:tcBorders>
            <w:shd w:val="clear" w:color="auto" w:fill="auto"/>
            <w:noWrap/>
            <w:vAlign w:val="center"/>
          </w:tcPr>
          <w:p w14:paraId="1E0993AC">
            <w:pPr>
              <w:rPr>
                <w:rFonts w:hint="eastAsia" w:ascii="宋体" w:hAnsi="宋体" w:eastAsia="宋体" w:cs="宋体"/>
                <w:i w:val="0"/>
                <w:iCs w:val="0"/>
                <w:color w:val="000000"/>
                <w:sz w:val="22"/>
                <w:szCs w:val="22"/>
                <w:u w:val="none"/>
              </w:rPr>
            </w:pPr>
          </w:p>
        </w:tc>
        <w:tc>
          <w:tcPr>
            <w:tcW w:w="462" w:type="pct"/>
            <w:tcBorders>
              <w:top w:val="nil"/>
              <w:left w:val="nil"/>
              <w:bottom w:val="nil"/>
              <w:right w:val="nil"/>
            </w:tcBorders>
            <w:shd w:val="clear" w:color="auto" w:fill="auto"/>
            <w:noWrap/>
            <w:vAlign w:val="center"/>
          </w:tcPr>
          <w:p w14:paraId="253A3CD1">
            <w:pPr>
              <w:rPr>
                <w:rFonts w:hint="eastAsia" w:ascii="宋体" w:hAnsi="宋体" w:eastAsia="宋体" w:cs="宋体"/>
                <w:i w:val="0"/>
                <w:iCs w:val="0"/>
                <w:color w:val="000000"/>
                <w:sz w:val="22"/>
                <w:szCs w:val="22"/>
                <w:u w:val="none"/>
              </w:rPr>
            </w:pPr>
          </w:p>
        </w:tc>
        <w:tc>
          <w:tcPr>
            <w:tcW w:w="500" w:type="pct"/>
            <w:tcBorders>
              <w:top w:val="nil"/>
              <w:left w:val="nil"/>
              <w:bottom w:val="nil"/>
              <w:right w:val="nil"/>
            </w:tcBorders>
            <w:shd w:val="clear" w:color="auto" w:fill="auto"/>
            <w:noWrap/>
            <w:vAlign w:val="center"/>
          </w:tcPr>
          <w:p w14:paraId="37FCD95F">
            <w:pPr>
              <w:rPr>
                <w:rFonts w:hint="eastAsia" w:ascii="宋体" w:hAnsi="宋体" w:eastAsia="宋体" w:cs="宋体"/>
                <w:i w:val="0"/>
                <w:iCs w:val="0"/>
                <w:color w:val="000000"/>
                <w:sz w:val="22"/>
                <w:szCs w:val="22"/>
                <w:u w:val="none"/>
              </w:rPr>
            </w:pPr>
          </w:p>
        </w:tc>
        <w:tc>
          <w:tcPr>
            <w:tcW w:w="840" w:type="pct"/>
            <w:tcBorders>
              <w:top w:val="nil"/>
              <w:left w:val="nil"/>
              <w:bottom w:val="nil"/>
              <w:right w:val="nil"/>
            </w:tcBorders>
            <w:shd w:val="clear" w:color="auto" w:fill="auto"/>
            <w:noWrap/>
            <w:vAlign w:val="center"/>
          </w:tcPr>
          <w:p w14:paraId="17B024DC">
            <w:pPr>
              <w:rPr>
                <w:rFonts w:hint="eastAsia" w:ascii="宋体" w:hAnsi="宋体" w:eastAsia="宋体" w:cs="宋体"/>
                <w:i w:val="0"/>
                <w:iCs w:val="0"/>
                <w:color w:val="000000"/>
                <w:sz w:val="22"/>
                <w:szCs w:val="22"/>
                <w:u w:val="none"/>
              </w:rPr>
            </w:pPr>
          </w:p>
        </w:tc>
        <w:tc>
          <w:tcPr>
            <w:tcW w:w="230" w:type="pct"/>
            <w:tcBorders>
              <w:top w:val="nil"/>
              <w:left w:val="nil"/>
              <w:bottom w:val="nil"/>
              <w:right w:val="nil"/>
            </w:tcBorders>
            <w:shd w:val="clear" w:color="auto" w:fill="auto"/>
            <w:noWrap/>
            <w:vAlign w:val="center"/>
          </w:tcPr>
          <w:p w14:paraId="06DB687C">
            <w:pPr>
              <w:rPr>
                <w:rFonts w:hint="eastAsia" w:ascii="宋体" w:hAnsi="宋体" w:eastAsia="宋体" w:cs="宋体"/>
                <w:i w:val="0"/>
                <w:iCs w:val="0"/>
                <w:color w:val="000000"/>
                <w:sz w:val="22"/>
                <w:szCs w:val="22"/>
                <w:u w:val="none"/>
              </w:rPr>
            </w:pPr>
          </w:p>
        </w:tc>
      </w:tr>
      <w:tr w14:paraId="27DFBB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1" w:hRule="atLeast"/>
        </w:trPr>
        <w:tc>
          <w:tcPr>
            <w:tcW w:w="225" w:type="pct"/>
            <w:tcBorders>
              <w:top w:val="nil"/>
              <w:left w:val="nil"/>
              <w:bottom w:val="nil"/>
              <w:right w:val="nil"/>
            </w:tcBorders>
            <w:shd w:val="clear" w:color="auto" w:fill="auto"/>
            <w:noWrap/>
            <w:vAlign w:val="center"/>
          </w:tcPr>
          <w:p w14:paraId="56362561">
            <w:pPr>
              <w:rPr>
                <w:rFonts w:hint="eastAsia" w:ascii="宋体" w:hAnsi="宋体" w:eastAsia="宋体" w:cs="宋体"/>
                <w:i w:val="0"/>
                <w:iCs w:val="0"/>
                <w:color w:val="000000"/>
                <w:sz w:val="22"/>
                <w:szCs w:val="22"/>
                <w:u w:val="none"/>
              </w:rPr>
            </w:pPr>
          </w:p>
        </w:tc>
        <w:tc>
          <w:tcPr>
            <w:tcW w:w="736" w:type="pct"/>
            <w:tcBorders>
              <w:top w:val="nil"/>
              <w:left w:val="nil"/>
              <w:bottom w:val="nil"/>
              <w:right w:val="nil"/>
            </w:tcBorders>
            <w:shd w:val="clear" w:color="auto" w:fill="auto"/>
            <w:noWrap/>
            <w:vAlign w:val="center"/>
          </w:tcPr>
          <w:p w14:paraId="356487FE">
            <w:pPr>
              <w:rPr>
                <w:rFonts w:hint="eastAsia" w:ascii="宋体" w:hAnsi="宋体" w:eastAsia="宋体" w:cs="宋体"/>
                <w:i w:val="0"/>
                <w:iCs w:val="0"/>
                <w:color w:val="000000"/>
                <w:sz w:val="22"/>
                <w:szCs w:val="22"/>
                <w:u w:val="none"/>
              </w:rPr>
            </w:pPr>
          </w:p>
        </w:tc>
        <w:tc>
          <w:tcPr>
            <w:tcW w:w="1274" w:type="pct"/>
            <w:tcBorders>
              <w:top w:val="nil"/>
              <w:left w:val="nil"/>
              <w:bottom w:val="nil"/>
              <w:right w:val="nil"/>
            </w:tcBorders>
            <w:shd w:val="clear" w:color="auto" w:fill="auto"/>
            <w:noWrap/>
            <w:vAlign w:val="center"/>
          </w:tcPr>
          <w:p w14:paraId="7A5877C6">
            <w:pPr>
              <w:rPr>
                <w:rFonts w:hint="eastAsia" w:ascii="宋体" w:hAnsi="宋体" w:eastAsia="宋体" w:cs="宋体"/>
                <w:i w:val="0"/>
                <w:iCs w:val="0"/>
                <w:color w:val="000000"/>
                <w:sz w:val="22"/>
                <w:szCs w:val="22"/>
                <w:u w:val="none"/>
              </w:rPr>
            </w:pPr>
          </w:p>
        </w:tc>
        <w:tc>
          <w:tcPr>
            <w:tcW w:w="730" w:type="pct"/>
            <w:tcBorders>
              <w:top w:val="nil"/>
              <w:left w:val="nil"/>
              <w:bottom w:val="nil"/>
              <w:right w:val="nil"/>
            </w:tcBorders>
            <w:shd w:val="clear" w:color="auto" w:fill="auto"/>
            <w:noWrap/>
            <w:vAlign w:val="center"/>
          </w:tcPr>
          <w:p w14:paraId="10901C6A">
            <w:pPr>
              <w:rPr>
                <w:rFonts w:hint="eastAsia" w:ascii="宋体" w:hAnsi="宋体" w:eastAsia="宋体" w:cs="宋体"/>
                <w:i w:val="0"/>
                <w:iCs w:val="0"/>
                <w:color w:val="000000"/>
                <w:sz w:val="22"/>
                <w:szCs w:val="22"/>
                <w:u w:val="none"/>
              </w:rPr>
            </w:pPr>
          </w:p>
        </w:tc>
        <w:tc>
          <w:tcPr>
            <w:tcW w:w="2033" w:type="pct"/>
            <w:gridSpan w:val="4"/>
            <w:tcBorders>
              <w:top w:val="nil"/>
              <w:left w:val="nil"/>
              <w:bottom w:val="nil"/>
              <w:right w:val="nil"/>
            </w:tcBorders>
            <w:shd w:val="clear" w:color="auto" w:fill="auto"/>
            <w:noWrap/>
            <w:vAlign w:val="center"/>
          </w:tcPr>
          <w:p w14:paraId="4B171D87">
            <w:pP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单位名称：台山市妇幼保健院</w:t>
            </w:r>
          </w:p>
        </w:tc>
      </w:tr>
      <w:tr w14:paraId="01B6AB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8" w:hRule="atLeast"/>
        </w:trPr>
        <w:tc>
          <w:tcPr>
            <w:tcW w:w="225" w:type="pct"/>
            <w:tcBorders>
              <w:top w:val="nil"/>
              <w:left w:val="nil"/>
              <w:bottom w:val="nil"/>
              <w:right w:val="nil"/>
            </w:tcBorders>
            <w:shd w:val="clear" w:color="auto" w:fill="auto"/>
            <w:noWrap/>
            <w:vAlign w:val="center"/>
          </w:tcPr>
          <w:p w14:paraId="66DCB763">
            <w:pPr>
              <w:rPr>
                <w:rFonts w:hint="eastAsia" w:ascii="宋体" w:hAnsi="宋体" w:eastAsia="宋体" w:cs="宋体"/>
                <w:i w:val="0"/>
                <w:iCs w:val="0"/>
                <w:color w:val="000000"/>
                <w:sz w:val="22"/>
                <w:szCs w:val="22"/>
                <w:u w:val="none"/>
              </w:rPr>
            </w:pPr>
          </w:p>
        </w:tc>
        <w:tc>
          <w:tcPr>
            <w:tcW w:w="736" w:type="pct"/>
            <w:tcBorders>
              <w:top w:val="nil"/>
              <w:left w:val="nil"/>
              <w:bottom w:val="nil"/>
              <w:right w:val="nil"/>
            </w:tcBorders>
            <w:shd w:val="clear" w:color="auto" w:fill="auto"/>
            <w:noWrap/>
            <w:vAlign w:val="center"/>
          </w:tcPr>
          <w:p w14:paraId="7538D1D1">
            <w:pPr>
              <w:rPr>
                <w:rFonts w:hint="eastAsia" w:ascii="宋体" w:hAnsi="宋体" w:eastAsia="宋体" w:cs="宋体"/>
                <w:i w:val="0"/>
                <w:iCs w:val="0"/>
                <w:color w:val="000000"/>
                <w:sz w:val="22"/>
                <w:szCs w:val="22"/>
                <w:u w:val="none"/>
              </w:rPr>
            </w:pPr>
          </w:p>
        </w:tc>
        <w:tc>
          <w:tcPr>
            <w:tcW w:w="1274" w:type="pct"/>
            <w:tcBorders>
              <w:top w:val="nil"/>
              <w:left w:val="nil"/>
              <w:bottom w:val="nil"/>
              <w:right w:val="nil"/>
            </w:tcBorders>
            <w:shd w:val="clear" w:color="auto" w:fill="auto"/>
            <w:noWrap/>
            <w:vAlign w:val="center"/>
          </w:tcPr>
          <w:p w14:paraId="00954D84">
            <w:pPr>
              <w:rPr>
                <w:rFonts w:hint="eastAsia" w:ascii="宋体" w:hAnsi="宋体" w:eastAsia="宋体" w:cs="宋体"/>
                <w:i w:val="0"/>
                <w:iCs w:val="0"/>
                <w:color w:val="000000"/>
                <w:sz w:val="22"/>
                <w:szCs w:val="22"/>
                <w:u w:val="none"/>
              </w:rPr>
            </w:pPr>
          </w:p>
        </w:tc>
        <w:tc>
          <w:tcPr>
            <w:tcW w:w="730" w:type="pct"/>
            <w:tcBorders>
              <w:top w:val="nil"/>
              <w:left w:val="nil"/>
              <w:bottom w:val="nil"/>
              <w:right w:val="nil"/>
            </w:tcBorders>
            <w:shd w:val="clear" w:color="auto" w:fill="auto"/>
            <w:noWrap/>
            <w:vAlign w:val="center"/>
          </w:tcPr>
          <w:p w14:paraId="088451ED">
            <w:pP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 xml:space="preserve">    </w:t>
            </w:r>
          </w:p>
        </w:tc>
        <w:tc>
          <w:tcPr>
            <w:tcW w:w="2033" w:type="pct"/>
            <w:gridSpan w:val="4"/>
            <w:tcBorders>
              <w:top w:val="nil"/>
              <w:left w:val="nil"/>
              <w:bottom w:val="nil"/>
              <w:right w:val="nil"/>
            </w:tcBorders>
            <w:shd w:val="clear" w:color="auto" w:fill="auto"/>
            <w:noWrap/>
            <w:vAlign w:val="center"/>
          </w:tcPr>
          <w:p w14:paraId="1F44B83B">
            <w:pP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2026年8月6日</w:t>
            </w:r>
          </w:p>
        </w:tc>
      </w:tr>
    </w:tbl>
    <w:p w14:paraId="0962737A"/>
    <w:sectPr>
      <w:pgSz w:w="11906" w:h="16838"/>
      <w:pgMar w:top="2154" w:right="1474" w:bottom="1701"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方正小标宋简体">
    <w:altName w:val="黑体"/>
    <w:panose1 w:val="00000000000000000000"/>
    <w:charset w:val="00"/>
    <w:family w:val="auto"/>
    <w:pitch w:val="default"/>
    <w:sig w:usb0="00000000" w:usb1="00000000" w:usb2="00000000" w:usb3="00000000" w:csb0="00000000" w:csb1="00000000"/>
  </w:font>
  <w:font w:name="Cabin-Regular">
    <w:altName w:val="Calibri"/>
    <w:panose1 w:val="00000000000000000000"/>
    <w:charset w:val="00"/>
    <w:family w:val="auto"/>
    <w:pitch w:val="default"/>
    <w:sig w:usb0="00000000"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D35A54"/>
    <w:rsid w:val="0C37580D"/>
    <w:rsid w:val="0DA719D5"/>
    <w:rsid w:val="0E493AAA"/>
    <w:rsid w:val="0F086112"/>
    <w:rsid w:val="0FD43139"/>
    <w:rsid w:val="149255FC"/>
    <w:rsid w:val="15AA1483"/>
    <w:rsid w:val="196608D9"/>
    <w:rsid w:val="1B6A146D"/>
    <w:rsid w:val="2372267C"/>
    <w:rsid w:val="2BEE0AE2"/>
    <w:rsid w:val="2C9B281C"/>
    <w:rsid w:val="307734E4"/>
    <w:rsid w:val="31611415"/>
    <w:rsid w:val="325C2770"/>
    <w:rsid w:val="3710794A"/>
    <w:rsid w:val="38146E1B"/>
    <w:rsid w:val="381C6B7A"/>
    <w:rsid w:val="39BD2849"/>
    <w:rsid w:val="3B7667AA"/>
    <w:rsid w:val="3F7D2858"/>
    <w:rsid w:val="3FBC149B"/>
    <w:rsid w:val="415723CD"/>
    <w:rsid w:val="417E16C3"/>
    <w:rsid w:val="42004FD7"/>
    <w:rsid w:val="44AC565F"/>
    <w:rsid w:val="456C7555"/>
    <w:rsid w:val="464A6509"/>
    <w:rsid w:val="4A2519DC"/>
    <w:rsid w:val="4CA75FAF"/>
    <w:rsid w:val="4CE11333"/>
    <w:rsid w:val="50724582"/>
    <w:rsid w:val="52860D36"/>
    <w:rsid w:val="52A15F8B"/>
    <w:rsid w:val="58591F7E"/>
    <w:rsid w:val="5AFB3394"/>
    <w:rsid w:val="5E800339"/>
    <w:rsid w:val="638746C0"/>
    <w:rsid w:val="65EA202D"/>
    <w:rsid w:val="666A4DAF"/>
    <w:rsid w:val="685D039E"/>
    <w:rsid w:val="6B681DC7"/>
    <w:rsid w:val="6E752944"/>
    <w:rsid w:val="6EAD5B8F"/>
    <w:rsid w:val="71B94B35"/>
    <w:rsid w:val="7AF23EF2"/>
    <w:rsid w:val="7FFA68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
    <w:name w:val="Strong"/>
    <w:basedOn w:val="4"/>
    <w:qFormat/>
    <w:uiPriority w:val="0"/>
    <w:rPr>
      <w:b/>
    </w:rPr>
  </w:style>
  <w:style w:type="character" w:styleId="6">
    <w:name w:val="Emphasis"/>
    <w:basedOn w:val="4"/>
    <w:qFormat/>
    <w:uiPriority w:val="0"/>
    <w:rPr>
      <w:i/>
    </w:rPr>
  </w:style>
  <w:style w:type="character" w:customStyle="1" w:styleId="7">
    <w:name w:val="font01"/>
    <w:basedOn w:val="4"/>
    <w:qFormat/>
    <w:uiPriority w:val="0"/>
    <w:rPr>
      <w:rFonts w:hint="eastAsia" w:ascii="宋体" w:hAnsi="宋体" w:eastAsia="宋体" w:cs="宋体"/>
      <w:color w:val="000000"/>
      <w:sz w:val="22"/>
      <w:szCs w:val="22"/>
      <w:u w:val="none"/>
    </w:rPr>
  </w:style>
  <w:style w:type="character" w:customStyle="1" w:styleId="8">
    <w:name w:val="font61"/>
    <w:basedOn w:val="4"/>
    <w:qFormat/>
    <w:uiPriority w:val="0"/>
    <w:rPr>
      <w:rFonts w:hint="eastAsia" w:ascii="宋体" w:hAnsi="宋体" w:eastAsia="宋体" w:cs="宋体"/>
      <w:color w:val="000000"/>
      <w:sz w:val="22"/>
      <w:szCs w:val="22"/>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1962</Words>
  <Characters>2017</Characters>
  <Lines>0</Lines>
  <Paragraphs>0</Paragraphs>
  <TotalTime>63</TotalTime>
  <ScaleCrop>false</ScaleCrop>
  <LinksUpToDate>false</LinksUpToDate>
  <CharactersWithSpaces>2030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2025-04-14T06:43:00Z</dcterms:created>
  <dc:creator>sbk003</dc:creator>
  <cp:lastModifiedBy>郭伟国</cp:lastModifiedBy>
  <dcterms:modified xsi:type="dcterms:W3CDTF">2026-08-06T08:08:28Z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192686870AE04EDCBF09177071629813_12</vt:lpwstr>
  </property>
  <property fmtid="{D5CDD505-2E9C-101B-9397-08002B2CF9AE}" pid="4" name="KSOTemplateDocerSaveRecord">
    <vt:lpwstr>eyJoZGlkIjoiZDVlYWQzZmQwZmFkYTA3N2NiZDRmMDAwYjRlNWI0ZTEiLCJ1c2VySWQiOiIxNTUyOTYxNTUzIn0=</vt:lpwstr>
  </property>
</Properties>
</file>