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5845A">
      <w:pPr>
        <w:spacing w:line="36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台山</w:t>
      </w:r>
      <w:r>
        <w:rPr>
          <w:rFonts w:hint="eastAsia" w:ascii="宋体" w:hAnsi="宋体"/>
          <w:b/>
          <w:sz w:val="36"/>
          <w:szCs w:val="36"/>
        </w:rPr>
        <w:t>市妇幼保健院院内</w:t>
      </w:r>
      <w:r>
        <w:rPr>
          <w:rFonts w:hint="eastAsia" w:ascii="宋体" w:hAnsi="宋体"/>
          <w:b/>
          <w:sz w:val="36"/>
          <w:szCs w:val="36"/>
          <w:lang w:eastAsia="zh-CN"/>
        </w:rPr>
        <w:t>采购</w:t>
      </w:r>
      <w:r>
        <w:rPr>
          <w:rFonts w:hint="eastAsia" w:ascii="宋体" w:hAnsi="宋体"/>
          <w:b/>
          <w:sz w:val="36"/>
          <w:szCs w:val="36"/>
        </w:rPr>
        <w:t>项目评分原则与评标方法</w:t>
      </w:r>
    </w:p>
    <w:p w14:paraId="1018D63F">
      <w:pPr>
        <w:spacing w:line="360" w:lineRule="auto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</w:t>
      </w:r>
      <w:r>
        <w:rPr>
          <w:rFonts w:hint="eastAsia" w:ascii="宋体" w:hAnsi="宋体"/>
          <w:b/>
          <w:sz w:val="24"/>
          <w:lang w:eastAsia="zh-CN"/>
        </w:rPr>
        <w:t>磋商</w:t>
      </w:r>
      <w:r>
        <w:rPr>
          <w:rFonts w:hint="eastAsia" w:ascii="宋体" w:hAnsi="宋体"/>
          <w:b/>
          <w:sz w:val="24"/>
        </w:rPr>
        <w:t>项目：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生物反馈磁刺激仪</w:t>
      </w:r>
      <w:bookmarkStart w:id="0" w:name="_GoBack"/>
      <w:bookmarkEnd w:id="0"/>
      <w:r>
        <w:rPr>
          <w:rFonts w:hint="eastAsia" w:ascii="宋体" w:hAnsi="宋体"/>
          <w:b/>
          <w:sz w:val="24"/>
        </w:rPr>
        <w:t>）</w:t>
      </w:r>
    </w:p>
    <w:p w14:paraId="3442BC3C">
      <w:pPr>
        <w:numPr>
          <w:ilvl w:val="0"/>
          <w:numId w:val="1"/>
        </w:numPr>
        <w:spacing w:line="360" w:lineRule="auto"/>
        <w:jc w:val="both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评分原则：</w:t>
      </w:r>
      <w:r>
        <w:rPr>
          <w:rFonts w:hint="eastAsia" w:ascii="宋体" w:hAnsi="宋体"/>
          <w:sz w:val="24"/>
          <w:szCs w:val="24"/>
        </w:rPr>
        <w:t>按能够最大限度地满足</w:t>
      </w:r>
      <w:r>
        <w:rPr>
          <w:rFonts w:hint="eastAsia" w:ascii="宋体" w:hAnsi="宋体"/>
          <w:sz w:val="24"/>
          <w:szCs w:val="24"/>
          <w:lang w:eastAsia="zh-CN"/>
        </w:rPr>
        <w:t>磋商</w:t>
      </w:r>
      <w:r>
        <w:rPr>
          <w:rFonts w:hint="eastAsia" w:ascii="宋体" w:hAnsi="宋体"/>
          <w:sz w:val="24"/>
          <w:szCs w:val="24"/>
        </w:rPr>
        <w:t>文件中规定的各项综合评价标准的投标人中标的原则评定。</w:t>
      </w:r>
    </w:p>
    <w:p w14:paraId="217F1819">
      <w:pPr>
        <w:spacing w:line="60" w:lineRule="atLeas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2.评标方法：</w:t>
      </w:r>
      <w:r>
        <w:rPr>
          <w:rFonts w:hint="eastAsia" w:ascii="宋体" w:hAnsi="宋体"/>
          <w:sz w:val="24"/>
          <w:szCs w:val="24"/>
        </w:rPr>
        <w:t>本次评标采用综合评分方法，评标以</w:t>
      </w:r>
      <w:r>
        <w:rPr>
          <w:rFonts w:hint="eastAsia" w:ascii="宋体" w:hAnsi="宋体"/>
          <w:sz w:val="24"/>
          <w:szCs w:val="24"/>
          <w:lang w:eastAsia="zh-CN"/>
        </w:rPr>
        <w:t>磋商</w:t>
      </w:r>
      <w:r>
        <w:rPr>
          <w:rFonts w:hint="eastAsia" w:ascii="宋体" w:hAnsi="宋体"/>
          <w:sz w:val="24"/>
          <w:szCs w:val="24"/>
        </w:rPr>
        <w:t>文件规定的条件为原则，最低报价不作为中标的唯一依据。</w:t>
      </w:r>
    </w:p>
    <w:p w14:paraId="6A21FEDA">
      <w:pPr>
        <w:pStyle w:val="12"/>
        <w:spacing w:line="60" w:lineRule="atLeast"/>
        <w:ind w:left="0" w:leftChars="0" w:firstLine="0" w:firstLineChars="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3.</w:t>
      </w:r>
      <w:r>
        <w:rPr>
          <w:rFonts w:hint="eastAsia" w:ascii="宋体" w:hAnsi="宋体"/>
          <w:b/>
          <w:sz w:val="24"/>
          <w:szCs w:val="24"/>
        </w:rPr>
        <w:t>评分权重及评标因素如下：</w:t>
      </w:r>
    </w:p>
    <w:p w14:paraId="53AD2A89">
      <w:pPr>
        <w:pStyle w:val="12"/>
        <w:spacing w:line="60" w:lineRule="atLeast"/>
        <w:ind w:left="0" w:leftChars="0" w:firstLine="420" w:firstLineChars="0"/>
        <w:rPr>
          <w:rFonts w:hint="eastAsia" w:ascii="宋体" w:hAnsi="宋体"/>
          <w:b/>
          <w:sz w:val="24"/>
          <w:szCs w:val="24"/>
        </w:rPr>
      </w:pPr>
    </w:p>
    <w:tbl>
      <w:tblPr>
        <w:tblStyle w:val="8"/>
        <w:tblpPr w:leftFromText="180" w:rightFromText="180" w:vertAnchor="text" w:horzAnchor="page" w:tblpX="1321" w:tblpY="196"/>
        <w:tblOverlap w:val="never"/>
        <w:tblW w:w="88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0"/>
        <w:gridCol w:w="5779"/>
        <w:gridCol w:w="834"/>
      </w:tblGrid>
      <w:tr w14:paraId="0B292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29" w:type="dxa"/>
            <w:vAlign w:val="center"/>
          </w:tcPr>
          <w:p w14:paraId="69F6F623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评分项目/权重</w:t>
            </w:r>
          </w:p>
        </w:tc>
        <w:tc>
          <w:tcPr>
            <w:tcW w:w="1130" w:type="dxa"/>
            <w:vAlign w:val="center"/>
          </w:tcPr>
          <w:p w14:paraId="2857B56D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评标因素</w:t>
            </w:r>
          </w:p>
        </w:tc>
        <w:tc>
          <w:tcPr>
            <w:tcW w:w="5779" w:type="dxa"/>
            <w:vAlign w:val="center"/>
          </w:tcPr>
          <w:p w14:paraId="53514866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评分标准</w:t>
            </w:r>
          </w:p>
        </w:tc>
        <w:tc>
          <w:tcPr>
            <w:tcW w:w="834" w:type="dxa"/>
            <w:vAlign w:val="center"/>
          </w:tcPr>
          <w:p w14:paraId="06D80F0E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得分</w:t>
            </w:r>
          </w:p>
        </w:tc>
      </w:tr>
      <w:tr w14:paraId="582E3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  <w:vMerge w:val="restart"/>
            <w:vAlign w:val="center"/>
          </w:tcPr>
          <w:p w14:paraId="3BFBA95B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技术评分（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分）</w:t>
            </w:r>
          </w:p>
        </w:tc>
        <w:tc>
          <w:tcPr>
            <w:tcW w:w="1130" w:type="dxa"/>
            <w:vAlign w:val="center"/>
          </w:tcPr>
          <w:p w14:paraId="3C4CA8AB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带“▲”号条款的重要性技术参数(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分)</w:t>
            </w:r>
          </w:p>
        </w:tc>
        <w:tc>
          <w:tcPr>
            <w:tcW w:w="5779" w:type="dxa"/>
            <w:vAlign w:val="center"/>
          </w:tcPr>
          <w:p w14:paraId="45AB6CBE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根据投标人所投报设备的带“▲”重要技术参数对技术要求的响应情况进行评审。</w:t>
            </w:r>
          </w:p>
          <w:p w14:paraId="6BAA9BF0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带“▲”重要技术参数完全响应</w:t>
            </w:r>
            <w:r>
              <w:rPr>
                <w:rFonts w:hint="eastAsia" w:ascii="宋体" w:hAnsi="宋体" w:cs="宋体"/>
                <w:sz w:val="16"/>
                <w:szCs w:val="16"/>
                <w:lang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文件要求的，得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分；</w:t>
            </w:r>
          </w:p>
          <w:p w14:paraId="439400DC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2.带“▲”重要技术参数不满足或未响应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文件要求的项数为1项（含）以上2项（含）以下的，得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分；</w:t>
            </w:r>
          </w:p>
          <w:p w14:paraId="22C8AB76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3.带“▲”重要技术参数不满足或未响应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文件要求的项数为3项（含）以上5项（含）以下的，得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分；</w:t>
            </w:r>
          </w:p>
          <w:p w14:paraId="663FB9D2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4.带“▲”重要技术参数不满足或未响应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文件要求的项数为5项（不含）以上的，得5分。</w:t>
            </w:r>
          </w:p>
          <w:p w14:paraId="16BEC5F0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160" w:leftChars="0" w:hanging="160" w:hangingChars="10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带“▲”重要技术参数完全响应且优于</w:t>
            </w:r>
            <w:r>
              <w:rPr>
                <w:rFonts w:hint="eastAsia" w:ascii="宋体" w:hAnsi="宋体" w:cs="宋体"/>
                <w:sz w:val="16"/>
                <w:szCs w:val="16"/>
                <w:lang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文件要求，得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分。</w:t>
            </w:r>
          </w:p>
        </w:tc>
        <w:tc>
          <w:tcPr>
            <w:tcW w:w="834" w:type="dxa"/>
            <w:vAlign w:val="center"/>
          </w:tcPr>
          <w:p w14:paraId="53710096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1C7C3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</w:trPr>
        <w:tc>
          <w:tcPr>
            <w:tcW w:w="1129" w:type="dxa"/>
            <w:vMerge w:val="continue"/>
            <w:vAlign w:val="center"/>
          </w:tcPr>
          <w:p w14:paraId="07F91B27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30" w:type="dxa"/>
            <w:vAlign w:val="center"/>
          </w:tcPr>
          <w:p w14:paraId="284D34D1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不带“▲”号条款的一般性技术参数（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分）</w:t>
            </w:r>
          </w:p>
        </w:tc>
        <w:tc>
          <w:tcPr>
            <w:tcW w:w="5779" w:type="dxa"/>
            <w:vAlign w:val="center"/>
          </w:tcPr>
          <w:p w14:paraId="01E153A8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根据投标人所投报设备的一般（非带“▲”要求）技术参数对技术要求的响应情况进行评审。</w:t>
            </w:r>
          </w:p>
          <w:p w14:paraId="5D446853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1.一般（非带“▲”要求）技术参数完全响应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文件要求的，得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分；</w:t>
            </w:r>
          </w:p>
          <w:p w14:paraId="2A2A7C0E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2.一般（非带“▲”要求）技术参数不满足或未响应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 xml:space="preserve">文件要求的项数为1项（含）以上5项（含）以下的，得5分； </w:t>
            </w:r>
          </w:p>
          <w:p w14:paraId="0B371E5E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3.一般（非带“▲”要求）技术参数不满足或未响应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文件要求的项数为5项（不含）以上的，得2分。</w:t>
            </w:r>
          </w:p>
          <w:p w14:paraId="179CE870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一般（非带“▲”要求）技术参数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完全响应</w:t>
            </w:r>
            <w:r>
              <w:rPr>
                <w:rFonts w:hint="eastAsia" w:ascii="宋体" w:hAnsi="宋体" w:cs="宋体"/>
                <w:sz w:val="16"/>
                <w:szCs w:val="16"/>
                <w:lang w:eastAsia="zh-CN"/>
              </w:rPr>
              <w:t>且优于磋商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文件要求</w:t>
            </w:r>
            <w:r>
              <w:rPr>
                <w:rFonts w:hint="eastAsia" w:ascii="宋体" w:hAnsi="宋体" w:cs="宋体"/>
                <w:sz w:val="16"/>
                <w:szCs w:val="16"/>
                <w:lang w:eastAsia="zh-CN"/>
              </w:rPr>
              <w:t>，得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10分。</w:t>
            </w:r>
          </w:p>
        </w:tc>
        <w:tc>
          <w:tcPr>
            <w:tcW w:w="834" w:type="dxa"/>
            <w:vAlign w:val="center"/>
          </w:tcPr>
          <w:p w14:paraId="65127A99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3F28F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  <w:vMerge w:val="continue"/>
            <w:vAlign w:val="center"/>
          </w:tcPr>
          <w:p w14:paraId="1A8832A9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30" w:type="dxa"/>
            <w:vAlign w:val="center"/>
          </w:tcPr>
          <w:p w14:paraId="4D40FC1A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采购项目技术特点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val="en-US" w:eastAsia="zh-CN"/>
              </w:rPr>
              <w:t>3分）</w:t>
            </w:r>
          </w:p>
        </w:tc>
        <w:tc>
          <w:tcPr>
            <w:tcW w:w="5779" w:type="dxa"/>
            <w:vAlign w:val="center"/>
          </w:tcPr>
          <w:p w14:paraId="6B908BE9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根据投标人所投报设备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是否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有专利性技术特点，或有行业先进技术特点。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eastAsia="zh-CN"/>
              </w:rPr>
              <w:t>有利于本单位使用情况得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val="en-US" w:eastAsia="zh-CN"/>
              </w:rPr>
              <w:t>3分。</w:t>
            </w:r>
          </w:p>
        </w:tc>
        <w:tc>
          <w:tcPr>
            <w:tcW w:w="834" w:type="dxa"/>
            <w:vAlign w:val="center"/>
          </w:tcPr>
          <w:p w14:paraId="43D88EDD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61D21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129" w:type="dxa"/>
            <w:vMerge w:val="continue"/>
            <w:vAlign w:val="center"/>
          </w:tcPr>
          <w:p w14:paraId="6255E7EE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30" w:type="dxa"/>
            <w:vAlign w:val="center"/>
          </w:tcPr>
          <w:p w14:paraId="1891699E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保修期（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5779" w:type="dxa"/>
            <w:vAlign w:val="center"/>
          </w:tcPr>
          <w:p w14:paraId="06D6BD5A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整机保修3年</w:t>
            </w: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整机保修每增加一年加1分，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eastAsia="zh-CN"/>
              </w:rPr>
              <w:t>最高得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val="en-US" w:eastAsia="zh-CN"/>
              </w:rPr>
              <w:t>3分。</w:t>
            </w:r>
          </w:p>
        </w:tc>
        <w:tc>
          <w:tcPr>
            <w:tcW w:w="834" w:type="dxa"/>
            <w:vAlign w:val="center"/>
          </w:tcPr>
          <w:p w14:paraId="67134635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777D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129" w:type="dxa"/>
            <w:vMerge w:val="continue"/>
            <w:vAlign w:val="center"/>
          </w:tcPr>
          <w:p w14:paraId="20F26E87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30" w:type="dxa"/>
            <w:vAlign w:val="center"/>
          </w:tcPr>
          <w:p w14:paraId="3F0E0429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设备使用年限（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5779" w:type="dxa"/>
            <w:vAlign w:val="center"/>
          </w:tcPr>
          <w:p w14:paraId="2E75DBAE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对比各投标产品使用年限，最高得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分。</w:t>
            </w:r>
          </w:p>
        </w:tc>
        <w:tc>
          <w:tcPr>
            <w:tcW w:w="834" w:type="dxa"/>
            <w:vAlign w:val="center"/>
          </w:tcPr>
          <w:p w14:paraId="5D096B5D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26974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1129" w:type="dxa"/>
            <w:vMerge w:val="restart"/>
            <w:vAlign w:val="center"/>
          </w:tcPr>
          <w:p w14:paraId="71C98705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商务评分（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分）</w:t>
            </w:r>
          </w:p>
        </w:tc>
        <w:tc>
          <w:tcPr>
            <w:tcW w:w="1130" w:type="dxa"/>
            <w:vAlign w:val="center"/>
          </w:tcPr>
          <w:p w14:paraId="3438840F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供货方案及安装调试、培训方案（5分）</w:t>
            </w:r>
          </w:p>
        </w:tc>
        <w:tc>
          <w:tcPr>
            <w:tcW w:w="5779" w:type="dxa"/>
            <w:vAlign w:val="center"/>
          </w:tcPr>
          <w:p w14:paraId="478F8379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供货方案、安装调试方案有明确的计划和步骤，保障措施详细、合理可行，培训方案具体、合理、可行。得5分。</w:t>
            </w:r>
          </w:p>
          <w:p w14:paraId="331084EE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供货方案、安装调试方案有一定的可行性，培训方案内容完整、有一定可操作性。得3分。</w:t>
            </w:r>
          </w:p>
          <w:p w14:paraId="32F46CCB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供货方案、安装调试方案、培训方案过于简单。得1分。</w:t>
            </w:r>
          </w:p>
        </w:tc>
        <w:tc>
          <w:tcPr>
            <w:tcW w:w="834" w:type="dxa"/>
            <w:vAlign w:val="center"/>
          </w:tcPr>
          <w:p w14:paraId="4AD057F2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1186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129" w:type="dxa"/>
            <w:vMerge w:val="continue"/>
            <w:vAlign w:val="center"/>
          </w:tcPr>
          <w:p w14:paraId="7F1C7872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30" w:type="dxa"/>
            <w:vAlign w:val="center"/>
          </w:tcPr>
          <w:p w14:paraId="3B492130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验收要求方案（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5分）</w:t>
            </w:r>
          </w:p>
        </w:tc>
        <w:tc>
          <w:tcPr>
            <w:tcW w:w="5779" w:type="dxa"/>
            <w:vAlign w:val="center"/>
          </w:tcPr>
          <w:p w14:paraId="0EE3928B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1.验收方案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具体详细、合理可行。为医院提供全面保障。得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5分。</w:t>
            </w:r>
          </w:p>
          <w:p w14:paraId="7BD73D58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2.验收方案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有一定合理性、可行性，能为医院提供一定的保障。得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2分。</w:t>
            </w:r>
          </w:p>
        </w:tc>
        <w:tc>
          <w:tcPr>
            <w:tcW w:w="834" w:type="dxa"/>
            <w:vAlign w:val="center"/>
          </w:tcPr>
          <w:p w14:paraId="1A436ABB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22D5B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29" w:type="dxa"/>
            <w:vMerge w:val="continue"/>
            <w:vAlign w:val="center"/>
          </w:tcPr>
          <w:p w14:paraId="030CB925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30" w:type="dxa"/>
            <w:vAlign w:val="center"/>
          </w:tcPr>
          <w:p w14:paraId="1E7CDF7F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售后服务方案（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分）</w:t>
            </w:r>
          </w:p>
        </w:tc>
        <w:tc>
          <w:tcPr>
            <w:tcW w:w="5779" w:type="dxa"/>
            <w:vAlign w:val="center"/>
          </w:tcPr>
          <w:p w14:paraId="71B0170B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售后服务方案具体详细、合理可行，为医院提供全面保障。得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分。</w:t>
            </w:r>
          </w:p>
          <w:p w14:paraId="33A67ABF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售后服务方案有一定合理性、可行性，能为医院提供一定的保障。得</w:t>
            </w:r>
            <w:r>
              <w:rPr>
                <w:rFonts w:hint="eastAsia" w:ascii="宋体" w:hAnsi="宋体" w:cs="宋体"/>
                <w:sz w:val="16"/>
                <w:szCs w:val="16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分。</w:t>
            </w:r>
          </w:p>
          <w:p w14:paraId="6E96631D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售后服务方案的合理性、可行性、保障性一般。得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2分。</w:t>
            </w:r>
          </w:p>
          <w:p w14:paraId="723FF14F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没有提供售后服务方案或售后服务方案过于简单，无法为医院提供保障。不得分</w:t>
            </w:r>
          </w:p>
        </w:tc>
        <w:tc>
          <w:tcPr>
            <w:tcW w:w="834" w:type="dxa"/>
            <w:vAlign w:val="center"/>
          </w:tcPr>
          <w:p w14:paraId="424BC8FF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6ECF6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129" w:type="dxa"/>
            <w:vAlign w:val="center"/>
          </w:tcPr>
          <w:p w14:paraId="460D9E22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价格评分（30分）</w:t>
            </w:r>
          </w:p>
        </w:tc>
        <w:tc>
          <w:tcPr>
            <w:tcW w:w="7743" w:type="dxa"/>
            <w:gridSpan w:val="3"/>
            <w:vAlign w:val="center"/>
          </w:tcPr>
          <w:p w14:paraId="646996CA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价格得分=（最低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价/被评分供应商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磋商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价）×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30</w:t>
            </w:r>
          </w:p>
          <w:p w14:paraId="69858DD8">
            <w:pPr>
              <w:pStyle w:val="3"/>
              <w:spacing w:line="32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1.无配套耗材设备：医疗设备占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分；</w:t>
            </w:r>
          </w:p>
          <w:p w14:paraId="20F89859">
            <w:pPr>
              <w:pStyle w:val="3"/>
              <w:spacing w:line="32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2.含配套医用耗材（含试剂）的医疗设备，主要的耗材（含试剂）占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分，医疗设备占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分；</w:t>
            </w:r>
          </w:p>
          <w:p w14:paraId="36C2D7A9">
            <w:pP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3.如配套耗材预计年使用金额远超设备预算金额，则按耗材报价计算价格分。</w:t>
            </w:r>
          </w:p>
          <w:p w14:paraId="5F52EF21"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（此项统一由设备股和财务股计算）</w:t>
            </w:r>
          </w:p>
        </w:tc>
      </w:tr>
    </w:tbl>
    <w:p w14:paraId="02B0785D">
      <w:pPr>
        <w:spacing w:line="60" w:lineRule="atLeas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4.</w:t>
      </w:r>
      <w:r>
        <w:rPr>
          <w:rFonts w:hint="eastAsia" w:ascii="宋体" w:hAnsi="宋体"/>
          <w:b/>
          <w:sz w:val="24"/>
          <w:szCs w:val="24"/>
        </w:rPr>
        <w:t>结果评定：</w:t>
      </w:r>
      <w:r>
        <w:rPr>
          <w:rFonts w:hint="eastAsia" w:ascii="宋体" w:hAnsi="宋体"/>
          <w:sz w:val="24"/>
          <w:szCs w:val="24"/>
        </w:rPr>
        <w:t>将综合评估分从高到低排出名次:</w:t>
      </w:r>
    </w:p>
    <w:p w14:paraId="67DE1C4F">
      <w:pPr>
        <w:spacing w:line="60" w:lineRule="atLeas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>总分第一名为第一中标候选供应商，第二名为第二中标候选供应商，以此类推（综合评估分相同的，按投标报价由低到高顺序排列；综合评估分且投标报价相同的，按技术指标优劣顺序排列）。</w:t>
      </w:r>
    </w:p>
    <w:p w14:paraId="535210AA">
      <w:pPr>
        <w:numPr>
          <w:ilvl w:val="0"/>
          <w:numId w:val="0"/>
        </w:numPr>
        <w:spacing w:line="360" w:lineRule="auto"/>
        <w:jc w:val="both"/>
        <w:rPr>
          <w:rFonts w:hint="eastAsia" w:ascii="宋体" w:hAnsi="宋体"/>
          <w:sz w:val="24"/>
          <w:szCs w:val="24"/>
        </w:rPr>
      </w:pPr>
    </w:p>
    <w:p w14:paraId="49EA9BD2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评标专家签名确认：                 </w:t>
      </w:r>
    </w:p>
    <w:p w14:paraId="4B646AE3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726DF6F8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4D6DE9CA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78DDD1A7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79391FED">
      <w:pPr>
        <w:spacing w:line="480" w:lineRule="exact"/>
        <w:ind w:firstLine="5200" w:firstLineChars="1850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</w:rPr>
        <w:t>日期：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</w:p>
    <w:sectPr>
      <w:pgSz w:w="11906" w:h="16838"/>
      <w:pgMar w:top="567" w:right="1800" w:bottom="709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BD9F9E"/>
    <w:multiLevelType w:val="singleLevel"/>
    <w:tmpl w:val="7BBD9F9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1C9"/>
    <w:rsid w:val="00137CD2"/>
    <w:rsid w:val="001535F6"/>
    <w:rsid w:val="00154B1A"/>
    <w:rsid w:val="00162000"/>
    <w:rsid w:val="00193110"/>
    <w:rsid w:val="00193499"/>
    <w:rsid w:val="001F437C"/>
    <w:rsid w:val="00257A10"/>
    <w:rsid w:val="002A7476"/>
    <w:rsid w:val="002C1E0C"/>
    <w:rsid w:val="002D7599"/>
    <w:rsid w:val="003154E9"/>
    <w:rsid w:val="0036474D"/>
    <w:rsid w:val="00366BAB"/>
    <w:rsid w:val="0038016C"/>
    <w:rsid w:val="003811EB"/>
    <w:rsid w:val="00387129"/>
    <w:rsid w:val="00395098"/>
    <w:rsid w:val="003A12F7"/>
    <w:rsid w:val="003E1E45"/>
    <w:rsid w:val="003E2501"/>
    <w:rsid w:val="003F1F11"/>
    <w:rsid w:val="003F7928"/>
    <w:rsid w:val="0044070A"/>
    <w:rsid w:val="00490549"/>
    <w:rsid w:val="0050581E"/>
    <w:rsid w:val="005243A5"/>
    <w:rsid w:val="00526DC0"/>
    <w:rsid w:val="00530482"/>
    <w:rsid w:val="00556D62"/>
    <w:rsid w:val="0057136E"/>
    <w:rsid w:val="0059422A"/>
    <w:rsid w:val="005B278E"/>
    <w:rsid w:val="005B749B"/>
    <w:rsid w:val="005D0904"/>
    <w:rsid w:val="0063669D"/>
    <w:rsid w:val="00645D6F"/>
    <w:rsid w:val="0068676D"/>
    <w:rsid w:val="00694720"/>
    <w:rsid w:val="006953CF"/>
    <w:rsid w:val="006A11C9"/>
    <w:rsid w:val="006A1BCF"/>
    <w:rsid w:val="006A7990"/>
    <w:rsid w:val="006F17FA"/>
    <w:rsid w:val="00716E25"/>
    <w:rsid w:val="00751843"/>
    <w:rsid w:val="00804A49"/>
    <w:rsid w:val="00804B1B"/>
    <w:rsid w:val="0082650E"/>
    <w:rsid w:val="00854248"/>
    <w:rsid w:val="008A4045"/>
    <w:rsid w:val="008A553A"/>
    <w:rsid w:val="008D64C2"/>
    <w:rsid w:val="00903484"/>
    <w:rsid w:val="009046F1"/>
    <w:rsid w:val="00914218"/>
    <w:rsid w:val="00915ACA"/>
    <w:rsid w:val="009B5B7B"/>
    <w:rsid w:val="009B7F5A"/>
    <w:rsid w:val="009D3B54"/>
    <w:rsid w:val="00A0375A"/>
    <w:rsid w:val="00A35C11"/>
    <w:rsid w:val="00A40F93"/>
    <w:rsid w:val="00A423D3"/>
    <w:rsid w:val="00A55122"/>
    <w:rsid w:val="00A60817"/>
    <w:rsid w:val="00AA22E2"/>
    <w:rsid w:val="00AC36FB"/>
    <w:rsid w:val="00B32D8A"/>
    <w:rsid w:val="00B66EE8"/>
    <w:rsid w:val="00B74781"/>
    <w:rsid w:val="00BA2983"/>
    <w:rsid w:val="00BD4CE1"/>
    <w:rsid w:val="00BD7455"/>
    <w:rsid w:val="00C0765C"/>
    <w:rsid w:val="00C26402"/>
    <w:rsid w:val="00C560BC"/>
    <w:rsid w:val="00C61A02"/>
    <w:rsid w:val="00C72981"/>
    <w:rsid w:val="00C90F49"/>
    <w:rsid w:val="00CD567B"/>
    <w:rsid w:val="00CF50F7"/>
    <w:rsid w:val="00D34FF3"/>
    <w:rsid w:val="00D554FE"/>
    <w:rsid w:val="00D84386"/>
    <w:rsid w:val="00D87CE4"/>
    <w:rsid w:val="00DA159D"/>
    <w:rsid w:val="00DC6AC7"/>
    <w:rsid w:val="00DD0592"/>
    <w:rsid w:val="00DD3D20"/>
    <w:rsid w:val="00DE2169"/>
    <w:rsid w:val="00DF5E0C"/>
    <w:rsid w:val="00E043F5"/>
    <w:rsid w:val="00E4113C"/>
    <w:rsid w:val="00E41F94"/>
    <w:rsid w:val="00E7031A"/>
    <w:rsid w:val="00EA0689"/>
    <w:rsid w:val="00EA2073"/>
    <w:rsid w:val="00EC2EE7"/>
    <w:rsid w:val="00F25709"/>
    <w:rsid w:val="00F50751"/>
    <w:rsid w:val="00F52E0F"/>
    <w:rsid w:val="00F92EB2"/>
    <w:rsid w:val="00FB0DE4"/>
    <w:rsid w:val="00FD5302"/>
    <w:rsid w:val="04A476D5"/>
    <w:rsid w:val="06A11BD4"/>
    <w:rsid w:val="0A260AB0"/>
    <w:rsid w:val="0BB66D16"/>
    <w:rsid w:val="0F5457FA"/>
    <w:rsid w:val="136646D4"/>
    <w:rsid w:val="16021D37"/>
    <w:rsid w:val="169E0675"/>
    <w:rsid w:val="1AFF7456"/>
    <w:rsid w:val="29DC5688"/>
    <w:rsid w:val="2E7752CA"/>
    <w:rsid w:val="2F954066"/>
    <w:rsid w:val="36405C01"/>
    <w:rsid w:val="41672CA1"/>
    <w:rsid w:val="43661FA0"/>
    <w:rsid w:val="4986522D"/>
    <w:rsid w:val="567567DF"/>
    <w:rsid w:val="57503424"/>
    <w:rsid w:val="58085B76"/>
    <w:rsid w:val="5E3B7AF9"/>
    <w:rsid w:val="5FE15685"/>
    <w:rsid w:val="60BB0910"/>
    <w:rsid w:val="6395523F"/>
    <w:rsid w:val="6DC07393"/>
    <w:rsid w:val="75C7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Plain Text"/>
    <w:basedOn w:val="1"/>
    <w:link w:val="14"/>
    <w:unhideWhenUsed/>
    <w:qFormat/>
    <w:uiPriority w:val="0"/>
    <w:rPr>
      <w:rFonts w:ascii="宋体" w:hAnsi="Courier New" w:cstheme="minorBidi"/>
      <w:szCs w:val="22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First Indent 2"/>
    <w:basedOn w:val="2"/>
    <w:next w:val="1"/>
    <w:qFormat/>
    <w:uiPriority w:val="0"/>
    <w:pPr>
      <w:ind w:firstLine="42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纯文本 Char"/>
    <w:basedOn w:val="9"/>
    <w:qFormat/>
    <w:locked/>
    <w:uiPriority w:val="0"/>
    <w:rPr>
      <w:rFonts w:ascii="宋体" w:hAnsi="Courier New" w:eastAsia="宋体"/>
    </w:rPr>
  </w:style>
  <w:style w:type="character" w:customStyle="1" w:styleId="14">
    <w:name w:val="纯文本 Char1"/>
    <w:basedOn w:val="9"/>
    <w:link w:val="3"/>
    <w:semiHidden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1373</Words>
  <Characters>1411</Characters>
  <Lines>10</Lines>
  <Paragraphs>2</Paragraphs>
  <TotalTime>2</TotalTime>
  <ScaleCrop>false</ScaleCrop>
  <LinksUpToDate>false</LinksUpToDate>
  <CharactersWithSpaces>1430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2024-08-02T08:47:00Z</dcterms:created>
  <dc:creator>倪良军</dc:creator>
  <cp:lastModifiedBy>杨雯婷</cp:lastModifiedBy>
  <cp:lastPrinted>2020-11-10T09:12:00Z</cp:lastPrinted>
  <dcterms:modified xsi:type="dcterms:W3CDTF">2026-07-30T03:23:48Z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55A046B7F1D74E32B50E79EAD853C7CB_13</vt:lpwstr>
  </property>
  <property fmtid="{D5CDD505-2E9C-101B-9397-08002B2CF9AE}" pid="4" name="KSOTemplateDocerSaveRecord">
    <vt:lpwstr>eyJoZGlkIjoiZDVlYWQzZmQwZmFkYTA3N2NiZDRmMDAwYjRlNWI0ZTEiLCJ1c2VySWQiOiIxNTUyOTYxNTUzIn0=</vt:lpwstr>
  </property>
</Properties>
</file>