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EFDA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采购需求</w:t>
      </w:r>
    </w:p>
    <w:p w14:paraId="373E13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一、设备名称、数量</w:t>
      </w:r>
    </w:p>
    <w:tbl>
      <w:tblPr>
        <w:tblStyle w:val="4"/>
        <w:tblW w:w="8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2164"/>
        <w:gridCol w:w="1341"/>
        <w:gridCol w:w="2469"/>
        <w:gridCol w:w="1409"/>
      </w:tblGrid>
      <w:tr w14:paraId="6AC6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34" w:type="dxa"/>
          </w:tcPr>
          <w:p w14:paraId="48DE2AFC">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rPr>
              <w:t>序号</w:t>
            </w:r>
          </w:p>
        </w:tc>
        <w:tc>
          <w:tcPr>
            <w:tcW w:w="2164" w:type="dxa"/>
          </w:tcPr>
          <w:p w14:paraId="26E60A50">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lang w:eastAsia="zh-CN"/>
              </w:rPr>
              <w:t>采购设备</w:t>
            </w:r>
            <w:r>
              <w:rPr>
                <w:rFonts w:hint="eastAsia" w:ascii="仿宋_GB2312" w:eastAsia="仿宋_GB2312"/>
                <w:color w:val="333333"/>
                <w:sz w:val="28"/>
                <w:szCs w:val="28"/>
                <w:shd w:val="clear" w:color="auto" w:fill="FFFFFF"/>
              </w:rPr>
              <w:t>名</w:t>
            </w:r>
          </w:p>
        </w:tc>
        <w:tc>
          <w:tcPr>
            <w:tcW w:w="1341" w:type="dxa"/>
          </w:tcPr>
          <w:p w14:paraId="24AC62AA">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rPr>
              <w:t>数量</w:t>
            </w:r>
          </w:p>
        </w:tc>
        <w:tc>
          <w:tcPr>
            <w:tcW w:w="2469" w:type="dxa"/>
          </w:tcPr>
          <w:p w14:paraId="196F1C96">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rPr>
              <w:t>预算（单位：万元）</w:t>
            </w:r>
          </w:p>
        </w:tc>
        <w:tc>
          <w:tcPr>
            <w:tcW w:w="1409" w:type="dxa"/>
            <w:vAlign w:val="center"/>
          </w:tcPr>
          <w:p w14:paraId="0E43BC48">
            <w:pPr>
              <w:autoSpaceDE w:val="0"/>
              <w:autoSpaceDN w:val="0"/>
              <w:adjustRightInd w:val="0"/>
              <w:spacing w:line="360" w:lineRule="auto"/>
              <w:jc w:val="center"/>
              <w:rPr>
                <w:rFonts w:hint="eastAsia" w:ascii="仿宋_GB2312" w:eastAsia="仿宋_GB2312"/>
                <w:color w:val="333333"/>
                <w:sz w:val="28"/>
                <w:szCs w:val="28"/>
                <w:shd w:val="clear" w:color="auto" w:fill="FFFFFF"/>
              </w:rPr>
            </w:pPr>
            <w:r>
              <w:rPr>
                <w:rFonts w:hint="eastAsia" w:ascii="仿宋" w:hAnsi="仿宋" w:eastAsia="仿宋" w:cs="Helvetica Neue"/>
                <w:color w:val="auto"/>
                <w:kern w:val="0"/>
                <w:sz w:val="28"/>
                <w:szCs w:val="28"/>
              </w:rPr>
              <w:t>是否进口</w:t>
            </w:r>
          </w:p>
        </w:tc>
      </w:tr>
      <w:tr w14:paraId="258F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434" w:type="dxa"/>
            <w:vAlign w:val="top"/>
          </w:tcPr>
          <w:p w14:paraId="0442C0F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rPr>
            </w:pPr>
            <w:r>
              <w:rPr>
                <w:rFonts w:hint="eastAsia" w:ascii="仿宋_GB2312" w:eastAsia="仿宋_GB2312"/>
                <w:color w:val="FF0000"/>
                <w:sz w:val="28"/>
                <w:szCs w:val="28"/>
                <w:shd w:val="clear" w:color="auto" w:fill="FFFFFF"/>
                <w:lang w:val="en-US" w:eastAsia="zh-CN"/>
              </w:rPr>
              <w:t>ID:66966</w:t>
            </w:r>
          </w:p>
        </w:tc>
        <w:tc>
          <w:tcPr>
            <w:tcW w:w="2164" w:type="dxa"/>
            <w:vAlign w:val="top"/>
          </w:tcPr>
          <w:p w14:paraId="7DDFDDF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rPr>
            </w:pPr>
            <w:r>
              <w:rPr>
                <w:rFonts w:hint="eastAsia" w:ascii="仿宋_GB2312" w:eastAsia="仿宋_GB2312"/>
                <w:color w:val="FF0000"/>
                <w:sz w:val="21"/>
                <w:szCs w:val="21"/>
                <w:shd w:val="clear" w:color="auto" w:fill="FFFFFF"/>
                <w:lang w:val="en-US" w:eastAsia="zh-CN"/>
              </w:rPr>
              <w:t>生物反馈磁刺激仪</w:t>
            </w:r>
          </w:p>
        </w:tc>
        <w:tc>
          <w:tcPr>
            <w:tcW w:w="1341" w:type="dxa"/>
            <w:vAlign w:val="top"/>
          </w:tcPr>
          <w:p w14:paraId="77A8918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eastAsia="zh-CN"/>
              </w:rPr>
            </w:pPr>
            <w:r>
              <w:rPr>
                <w:rFonts w:hint="eastAsia" w:ascii="仿宋_GB2312" w:eastAsia="仿宋_GB2312"/>
                <w:color w:val="FF0000"/>
                <w:sz w:val="28"/>
                <w:szCs w:val="28"/>
                <w:shd w:val="clear" w:color="auto" w:fill="FFFFFF"/>
                <w:lang w:val="en-US" w:eastAsia="zh-CN"/>
              </w:rPr>
              <w:t>1套</w:t>
            </w:r>
          </w:p>
        </w:tc>
        <w:tc>
          <w:tcPr>
            <w:tcW w:w="2469" w:type="dxa"/>
            <w:vAlign w:val="top"/>
          </w:tcPr>
          <w:p w14:paraId="4B9F099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eastAsia="zh-CN"/>
              </w:rPr>
            </w:pPr>
            <w:r>
              <w:rPr>
                <w:rFonts w:hint="eastAsia" w:ascii="仿宋_GB2312" w:eastAsia="仿宋_GB2312"/>
                <w:color w:val="FF0000"/>
                <w:sz w:val="28"/>
                <w:szCs w:val="28"/>
                <w:shd w:val="clear" w:color="auto" w:fill="FFFFFF"/>
                <w:lang w:val="en-US" w:eastAsia="zh-CN"/>
              </w:rPr>
              <w:t>26</w:t>
            </w:r>
          </w:p>
        </w:tc>
        <w:tc>
          <w:tcPr>
            <w:tcW w:w="1409" w:type="dxa"/>
            <w:vAlign w:val="center"/>
          </w:tcPr>
          <w:p w14:paraId="0B5DA4DD">
            <w:pPr>
              <w:autoSpaceDE w:val="0"/>
              <w:autoSpaceDN w:val="0"/>
              <w:adjustRightInd w:val="0"/>
              <w:spacing w:line="360" w:lineRule="auto"/>
              <w:jc w:val="center"/>
              <w:rPr>
                <w:rFonts w:hint="eastAsia" w:ascii="仿宋_GB2312" w:eastAsia="仿宋_GB2312"/>
                <w:color w:val="FF0000"/>
                <w:sz w:val="28"/>
                <w:szCs w:val="28"/>
                <w:shd w:val="clear" w:color="auto" w:fill="FFFFFF"/>
                <w:lang w:val="en-US" w:eastAsia="zh-CN"/>
              </w:rPr>
            </w:pPr>
            <w:r>
              <w:rPr>
                <w:rFonts w:hint="eastAsia" w:ascii="仿宋" w:hAnsi="仿宋" w:eastAsia="仿宋" w:cs="Cabin-Regular"/>
                <w:color w:val="auto"/>
                <w:kern w:val="0"/>
                <w:sz w:val="32"/>
                <w:szCs w:val="32"/>
                <w:lang w:val="en-US" w:eastAsia="zh-CN"/>
              </w:rPr>
              <w:t>否</w:t>
            </w:r>
          </w:p>
        </w:tc>
      </w:tr>
    </w:tbl>
    <w:p w14:paraId="0152881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4"/>
          <w:szCs w:val="34"/>
          <w:lang w:val="en-US" w:eastAsia="zh-CN"/>
        </w:rPr>
      </w:pPr>
      <w:r>
        <w:rPr>
          <w:rFonts w:hint="eastAsia" w:ascii="黑体" w:hAnsi="黑体" w:eastAsia="黑体"/>
          <w:sz w:val="32"/>
          <w:szCs w:val="32"/>
          <w:lang w:val="en-US" w:eastAsia="zh-CN"/>
        </w:rPr>
        <w:t>二、基本技术参数或要求</w:t>
      </w:r>
    </w:p>
    <w:p w14:paraId="1A587C0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FF0000"/>
          <w:sz w:val="32"/>
          <w:szCs w:val="32"/>
          <w:lang w:val="en-US" w:eastAsia="zh-CN"/>
        </w:rPr>
      </w:pPr>
      <w:r>
        <w:rPr>
          <w:rFonts w:hint="eastAsia" w:ascii="楷体_GB2312" w:eastAsia="楷体_GB2312"/>
          <w:b/>
          <w:sz w:val="32"/>
          <w:szCs w:val="32"/>
          <w:lang w:val="en-US" w:eastAsia="zh-CN"/>
        </w:rPr>
        <w:t>（一）</w:t>
      </w:r>
      <w:r>
        <w:rPr>
          <w:rFonts w:hint="eastAsia" w:ascii="仿宋" w:hAnsi="仿宋" w:eastAsia="仿宋" w:cs="仿宋"/>
          <w:color w:val="FF0000"/>
          <w:sz w:val="32"/>
          <w:szCs w:val="32"/>
          <w:lang w:val="en-US" w:eastAsia="zh-CN"/>
        </w:rPr>
        <w:t>生物反馈磁刺激仪</w:t>
      </w:r>
    </w:p>
    <w:p w14:paraId="67E559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FF0000"/>
          <w:sz w:val="32"/>
          <w:szCs w:val="32"/>
        </w:rPr>
      </w:pPr>
      <w:r>
        <w:rPr>
          <w:rFonts w:hint="eastAsia" w:ascii="仿宋" w:hAnsi="仿宋" w:eastAsia="仿宋" w:cs="仿宋"/>
          <w:color w:val="FF0000"/>
          <w:sz w:val="32"/>
          <w:szCs w:val="32"/>
          <w:lang w:val="en-US" w:eastAsia="zh-CN"/>
        </w:rPr>
        <w:t>★1.具有医疗器械注册证，</w:t>
      </w:r>
      <w:r>
        <w:rPr>
          <w:rFonts w:hint="eastAsia" w:ascii="仿宋" w:hAnsi="仿宋" w:eastAsia="仿宋" w:cs="仿宋"/>
          <w:i w:val="0"/>
          <w:iCs w:val="0"/>
          <w:caps w:val="0"/>
          <w:color w:val="FF0000"/>
          <w:spacing w:val="0"/>
          <w:sz w:val="32"/>
          <w:szCs w:val="32"/>
          <w:shd w:val="clear" w:color="auto" w:fill="auto"/>
        </w:rPr>
        <w:t>在医疗机构中使用，刺激人体中枢神经和外周神经，用于人体中枢神经和外周神经（含盆底）功能的检测、评定、改善，对神经损伤性疾病及腰骶神经功能障碍的辅助治疗</w:t>
      </w:r>
      <w:r>
        <w:rPr>
          <w:rFonts w:hint="eastAsia" w:ascii="仿宋" w:hAnsi="仿宋" w:eastAsia="仿宋" w:cs="仿宋"/>
          <w:i w:val="0"/>
          <w:iCs w:val="0"/>
          <w:caps w:val="0"/>
          <w:color w:val="FF0000"/>
          <w:spacing w:val="0"/>
          <w:sz w:val="32"/>
          <w:szCs w:val="32"/>
          <w:shd w:val="clear" w:color="auto" w:fill="auto"/>
          <w:lang w:eastAsia="zh-CN"/>
        </w:rPr>
        <w:t>；</w:t>
      </w:r>
      <w:r>
        <w:rPr>
          <w:rFonts w:hint="eastAsia" w:ascii="仿宋" w:hAnsi="仿宋" w:eastAsia="仿宋" w:cs="仿宋"/>
          <w:color w:val="FF0000"/>
          <w:sz w:val="32"/>
          <w:szCs w:val="32"/>
          <w:lang w:val="en-US" w:eastAsia="zh-CN"/>
        </w:rPr>
        <w:t>具有盆底肌压力等筛查评估功能，并生成相关评估报告</w:t>
      </w:r>
      <w:r>
        <w:rPr>
          <w:rFonts w:hint="eastAsia" w:ascii="仿宋" w:hAnsi="仿宋" w:eastAsia="仿宋" w:cs="仿宋"/>
          <w:color w:val="FF0000"/>
          <w:sz w:val="32"/>
          <w:szCs w:val="32"/>
        </w:rPr>
        <w:t>。</w:t>
      </w:r>
    </w:p>
    <w:p w14:paraId="646777E4">
      <w:pPr>
        <w:ind w:firstLine="640" w:firstLineChars="200"/>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rPr>
        <w:t>▲</w:t>
      </w:r>
      <w:r>
        <w:rPr>
          <w:rFonts w:hint="eastAsia" w:ascii="仿宋" w:hAnsi="仿宋" w:eastAsia="仿宋" w:cs="仿宋"/>
          <w:color w:val="FF0000"/>
          <w:sz w:val="32"/>
          <w:szCs w:val="32"/>
          <w:lang w:val="en-US" w:eastAsia="zh-CN"/>
        </w:rPr>
        <w:t>2.整机通过YY/T0994-2015 磁刺激设备行业标准，并通过EMC电磁兼容测试。</w:t>
      </w:r>
    </w:p>
    <w:p w14:paraId="3EFFE42A">
      <w:pPr>
        <w:ind w:firstLine="640" w:firstLineChars="200"/>
        <w:rPr>
          <w:rFonts w:hint="default" w:ascii="仿宋" w:hAnsi="仿宋" w:eastAsia="仿宋" w:cs="仿宋"/>
          <w:color w:val="FF0000"/>
          <w:sz w:val="32"/>
          <w:szCs w:val="32"/>
          <w:lang w:val="en-US"/>
        </w:rPr>
      </w:pPr>
      <w:r>
        <w:rPr>
          <w:rFonts w:hint="eastAsia" w:ascii="仿宋" w:hAnsi="仿宋" w:eastAsia="仿宋" w:cs="仿宋"/>
          <w:color w:val="FF0000"/>
          <w:sz w:val="32"/>
          <w:szCs w:val="32"/>
        </w:rPr>
        <w:t>▲</w:t>
      </w:r>
      <w:r>
        <w:rPr>
          <w:rFonts w:hint="eastAsia" w:ascii="仿宋" w:hAnsi="仿宋" w:eastAsia="仿宋" w:cs="仿宋"/>
          <w:color w:val="FF0000"/>
          <w:sz w:val="32"/>
          <w:szCs w:val="32"/>
          <w:lang w:val="en-US" w:eastAsia="zh-CN"/>
        </w:rPr>
        <w:t>3.线圈同时适用于盆底刺激和骶神经刺激。</w:t>
      </w:r>
    </w:p>
    <w:p w14:paraId="787B9120">
      <w:pPr>
        <w:numPr>
          <w:ilvl w:val="0"/>
          <w:numId w:val="0"/>
        </w:numPr>
        <w:ind w:firstLine="640" w:firstLineChars="200"/>
        <w:rPr>
          <w:rFonts w:hint="eastAsia" w:ascii="仿宋" w:hAnsi="仿宋" w:eastAsia="仿宋" w:cs="仿宋"/>
          <w:color w:val="FF0000"/>
          <w:kern w:val="0"/>
          <w:sz w:val="32"/>
          <w:szCs w:val="32"/>
          <w:lang w:val="en-US" w:eastAsia="zh-CN"/>
        </w:rPr>
      </w:pPr>
      <w:r>
        <w:rPr>
          <w:rFonts w:hint="eastAsia" w:ascii="仿宋" w:hAnsi="仿宋" w:eastAsia="仿宋" w:cs="仿宋"/>
          <w:color w:val="FF0000"/>
          <w:sz w:val="32"/>
          <w:szCs w:val="32"/>
        </w:rPr>
        <w:t>▲</w:t>
      </w:r>
      <w:r>
        <w:rPr>
          <w:rFonts w:hint="eastAsia" w:ascii="仿宋" w:hAnsi="仿宋" w:eastAsia="仿宋" w:cs="仿宋"/>
          <w:color w:val="FF0000"/>
          <w:kern w:val="0"/>
          <w:sz w:val="32"/>
          <w:szCs w:val="32"/>
          <w:lang w:val="en-US" w:eastAsia="zh-CN"/>
        </w:rPr>
        <w:t>4.配置冷却系统，散热效率高，保证设备长时间运行，实时监控温度，智能保护。</w:t>
      </w:r>
    </w:p>
    <w:p w14:paraId="299724FD">
      <w:pPr>
        <w:numPr>
          <w:ilvl w:val="0"/>
          <w:numId w:val="0"/>
        </w:numPr>
        <w:ind w:firstLine="640" w:firstLineChars="200"/>
        <w:rPr>
          <w:rFonts w:hint="eastAsia" w:ascii="仿宋" w:hAnsi="仿宋" w:eastAsia="仿宋" w:cs="仿宋"/>
          <w:color w:val="FF0000"/>
          <w:kern w:val="0"/>
          <w:sz w:val="32"/>
          <w:szCs w:val="32"/>
          <w:lang w:val="en-US" w:eastAsia="zh-CN"/>
        </w:rPr>
      </w:pPr>
      <w:r>
        <w:rPr>
          <w:rFonts w:hint="eastAsia" w:ascii="仿宋" w:hAnsi="仿宋" w:eastAsia="仿宋" w:cs="仿宋"/>
          <w:color w:val="FF0000"/>
          <w:sz w:val="32"/>
          <w:szCs w:val="32"/>
        </w:rPr>
        <w:t>▲</w:t>
      </w:r>
      <w:r>
        <w:rPr>
          <w:rFonts w:hint="eastAsia" w:ascii="仿宋" w:hAnsi="仿宋" w:eastAsia="仿宋" w:cs="仿宋"/>
          <w:color w:val="FF0000"/>
          <w:kern w:val="0"/>
          <w:sz w:val="32"/>
          <w:szCs w:val="32"/>
          <w:lang w:val="en-US" w:eastAsia="zh-CN"/>
        </w:rPr>
        <w:t>5.具有盆底体外压力评估功能，并生成评估报告。</w:t>
      </w:r>
    </w:p>
    <w:p w14:paraId="644A8201">
      <w:pPr>
        <w:numPr>
          <w:ilvl w:val="0"/>
          <w:numId w:val="0"/>
        </w:numPr>
        <w:ind w:firstLine="640" w:firstLineChars="200"/>
        <w:rPr>
          <w:rFonts w:hint="default" w:ascii="仿宋" w:hAnsi="仿宋" w:eastAsia="仿宋" w:cs="仿宋"/>
          <w:color w:val="FF0000"/>
          <w:kern w:val="0"/>
          <w:sz w:val="32"/>
          <w:szCs w:val="32"/>
          <w:lang w:val="en-US" w:eastAsia="zh-CN"/>
        </w:rPr>
      </w:pPr>
      <w:r>
        <w:rPr>
          <w:rFonts w:hint="eastAsia" w:ascii="仿宋" w:hAnsi="仿宋" w:eastAsia="仿宋" w:cs="仿宋"/>
          <w:color w:val="FF0000"/>
          <w:sz w:val="32"/>
          <w:szCs w:val="32"/>
        </w:rPr>
        <w:t>▲</w:t>
      </w:r>
      <w:r>
        <w:rPr>
          <w:rFonts w:hint="eastAsia" w:ascii="仿宋" w:hAnsi="仿宋" w:eastAsia="仿宋" w:cs="仿宋"/>
          <w:color w:val="FF0000"/>
          <w:kern w:val="0"/>
          <w:sz w:val="32"/>
          <w:szCs w:val="32"/>
          <w:lang w:val="en-US" w:eastAsia="zh-CN"/>
        </w:rPr>
        <w:t>6.具有拓展性，软件支持升级。</w:t>
      </w:r>
    </w:p>
    <w:p w14:paraId="649B731E">
      <w:pPr>
        <w:numPr>
          <w:ilvl w:val="0"/>
          <w:numId w:val="0"/>
        </w:numPr>
        <w:ind w:firstLine="640" w:firstLineChars="200"/>
        <w:rPr>
          <w:rFonts w:hint="eastAsia" w:ascii="仿宋" w:hAnsi="仿宋" w:eastAsia="仿宋" w:cs="仿宋"/>
          <w:color w:val="FF0000"/>
          <w:kern w:val="0"/>
          <w:sz w:val="32"/>
          <w:szCs w:val="32"/>
          <w:lang w:val="en-US" w:eastAsia="zh-CN"/>
        </w:rPr>
      </w:pPr>
      <w:r>
        <w:rPr>
          <w:rFonts w:hint="eastAsia" w:ascii="仿宋" w:hAnsi="仿宋" w:eastAsia="仿宋" w:cs="仿宋"/>
          <w:color w:val="FF0000"/>
          <w:kern w:val="0"/>
          <w:sz w:val="32"/>
          <w:szCs w:val="32"/>
          <w:lang w:val="en-US" w:eastAsia="zh-CN" w:bidi="ar-SA"/>
        </w:rPr>
        <w:t>7.</w:t>
      </w:r>
      <w:r>
        <w:rPr>
          <w:rFonts w:hint="eastAsia" w:ascii="仿宋" w:hAnsi="仿宋" w:eastAsia="仿宋" w:cs="仿宋"/>
          <w:color w:val="FF0000"/>
          <w:sz w:val="32"/>
          <w:szCs w:val="32"/>
          <w:lang w:val="en-US" w:eastAsia="zh-CN"/>
        </w:rPr>
        <w:t>配套专用座椅，座椅靠背可调，提高患者治疗中的舒适度、依从性与配合度。</w:t>
      </w:r>
    </w:p>
    <w:p w14:paraId="1A0A5200">
      <w:pPr>
        <w:numPr>
          <w:ilvl w:val="0"/>
          <w:numId w:val="0"/>
        </w:numPr>
        <w:ind w:firstLine="640" w:firstLineChars="200"/>
        <w:rPr>
          <w:rFonts w:hint="eastAsia" w:ascii="仿宋" w:hAnsi="仿宋" w:eastAsia="仿宋" w:cs="仿宋"/>
          <w:color w:val="FF0000"/>
          <w:kern w:val="0"/>
          <w:sz w:val="32"/>
          <w:szCs w:val="32"/>
          <w:lang w:val="en-US" w:eastAsia="zh-CN"/>
        </w:rPr>
      </w:pPr>
      <w:r>
        <w:rPr>
          <w:rFonts w:hint="eastAsia" w:ascii="仿宋" w:hAnsi="仿宋" w:eastAsia="仿宋" w:cs="仿宋"/>
          <w:color w:val="FF0000"/>
          <w:kern w:val="0"/>
          <w:sz w:val="32"/>
          <w:szCs w:val="32"/>
          <w:lang w:val="en-US" w:eastAsia="zh-CN" w:bidi="ar-SA"/>
        </w:rPr>
        <w:t>8.</w:t>
      </w:r>
      <w:r>
        <w:rPr>
          <w:rFonts w:hint="eastAsia" w:ascii="仿宋" w:hAnsi="仿宋" w:eastAsia="仿宋" w:cs="仿宋"/>
          <w:color w:val="FF0000"/>
          <w:kern w:val="0"/>
          <w:sz w:val="32"/>
          <w:szCs w:val="32"/>
          <w:lang w:val="en-US" w:eastAsia="zh-CN"/>
        </w:rPr>
        <w:t>最大磁感应</w:t>
      </w:r>
      <w:r>
        <w:rPr>
          <w:rFonts w:hint="eastAsia" w:ascii="仿宋" w:hAnsi="仿宋" w:eastAsia="仿宋" w:cs="仿宋"/>
          <w:color w:val="FF0000"/>
          <w:sz w:val="32"/>
          <w:szCs w:val="32"/>
        </w:rPr>
        <w:t>≥</w:t>
      </w:r>
      <w:r>
        <w:rPr>
          <w:rFonts w:hint="eastAsia" w:ascii="仿宋" w:hAnsi="仿宋" w:eastAsia="仿宋" w:cs="仿宋"/>
          <w:color w:val="FF0000"/>
          <w:sz w:val="32"/>
          <w:szCs w:val="32"/>
          <w:lang w:val="en-US" w:eastAsia="zh-CN"/>
        </w:rPr>
        <w:t>8T,输出脉冲刺激频率范围0-100Hz</w:t>
      </w:r>
      <w:r>
        <w:rPr>
          <w:rFonts w:hint="eastAsia" w:ascii="仿宋" w:hAnsi="仿宋" w:eastAsia="仿宋" w:cs="仿宋"/>
          <w:color w:val="FF0000"/>
          <w:kern w:val="0"/>
          <w:sz w:val="32"/>
          <w:szCs w:val="32"/>
          <w:lang w:val="en-US" w:eastAsia="zh-CN"/>
        </w:rPr>
        <w:t>。</w:t>
      </w:r>
    </w:p>
    <w:p w14:paraId="7E40F06A">
      <w:pPr>
        <w:numPr>
          <w:ilvl w:val="0"/>
          <w:numId w:val="0"/>
        </w:numPr>
        <w:ind w:firstLine="640" w:firstLineChars="200"/>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lang w:val="en-US" w:eastAsia="zh-CN"/>
        </w:rPr>
        <w:t>9.磁感应强度的最大变化范围10kT/s-160kT/s。</w:t>
      </w:r>
    </w:p>
    <w:p w14:paraId="65C2D5D2">
      <w:pPr>
        <w:ind w:firstLine="640" w:firstLineChars="200"/>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lang w:val="en-US" w:eastAsia="zh-CN"/>
        </w:rPr>
        <w:t>10.具有如磁刺激的主动训练和如kegel训练的被动训练功能等多种体外主动和被动训练功能。</w:t>
      </w:r>
    </w:p>
    <w:p w14:paraId="5842C652">
      <w:pPr>
        <w:ind w:firstLine="640" w:firstLineChars="200"/>
        <w:rPr>
          <w:rFonts w:hint="eastAsia" w:ascii="仿宋" w:hAnsi="仿宋" w:eastAsia="仿宋" w:cs="仿宋"/>
          <w:color w:val="FF0000"/>
          <w:sz w:val="32"/>
          <w:szCs w:val="32"/>
          <w:lang w:val="en-US" w:eastAsia="zh-CN"/>
        </w:rPr>
      </w:pPr>
      <w:r>
        <w:rPr>
          <w:rFonts w:hint="eastAsia" w:ascii="仿宋" w:hAnsi="仿宋" w:eastAsia="仿宋" w:cs="仿宋"/>
          <w:color w:val="FF0000"/>
          <w:sz w:val="32"/>
          <w:szCs w:val="32"/>
          <w:lang w:val="en-US" w:eastAsia="zh-CN"/>
        </w:rPr>
        <w:t>11.具有包含但不限于单脉冲刺激、重复脉冲刺激、爆发脉冲刺激等多种多种脉冲输出模式。</w:t>
      </w:r>
    </w:p>
    <w:p w14:paraId="170BD2E8">
      <w:pPr>
        <w:ind w:firstLine="640" w:firstLineChars="200"/>
        <w:rPr>
          <w:rFonts w:hint="eastAsia" w:ascii="仿宋" w:hAnsi="仿宋" w:eastAsia="仿宋" w:cs="仿宋"/>
          <w:color w:val="FF0000"/>
          <w:sz w:val="32"/>
          <w:szCs w:val="32"/>
          <w:lang w:val="en-US" w:eastAsia="zh-CN"/>
        </w:rPr>
      </w:pPr>
      <w:r>
        <w:rPr>
          <w:rFonts w:hint="eastAsia" w:ascii="仿宋" w:hAnsi="仿宋" w:eastAsia="仿宋" w:cs="仿宋"/>
          <w:color w:val="FF0000"/>
          <w:sz w:val="32"/>
          <w:szCs w:val="32"/>
          <w:lang w:val="en-US" w:eastAsia="zh-CN"/>
        </w:rPr>
        <w:t>12.治疗方案可自定义编辑，频率、刺激时间、间歇时间等参数可调。</w:t>
      </w:r>
    </w:p>
    <w:p w14:paraId="47452007">
      <w:pPr>
        <w:ind w:firstLine="640" w:firstLineChars="200"/>
        <w:rPr>
          <w:rFonts w:hint="eastAsia" w:ascii="仿宋" w:hAnsi="仿宋" w:eastAsia="仿宋" w:cs="仿宋"/>
          <w:color w:val="FF0000"/>
          <w:sz w:val="32"/>
          <w:szCs w:val="32"/>
          <w:lang w:val="en-US" w:eastAsia="zh-CN"/>
        </w:rPr>
      </w:pPr>
      <w:r>
        <w:rPr>
          <w:rFonts w:hint="eastAsia" w:ascii="仿宋" w:hAnsi="仿宋" w:eastAsia="仿宋" w:cs="仿宋"/>
          <w:color w:val="FF0000"/>
          <w:sz w:val="32"/>
          <w:szCs w:val="32"/>
          <w:lang w:val="en-US" w:eastAsia="zh-CN"/>
        </w:rPr>
        <w:t>13.患者在治疗方案过程中出现错误坐姿时自动报警。</w:t>
      </w:r>
    </w:p>
    <w:p w14:paraId="63A135B0">
      <w:pPr>
        <w:ind w:firstLine="640" w:firstLineChars="200"/>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lang w:val="en-US" w:eastAsia="zh-CN"/>
        </w:rPr>
        <w:t>14.内置处方治疗功能，可自主选择单一或多个方案联合一起使用。</w:t>
      </w:r>
    </w:p>
    <w:p w14:paraId="113E40DA">
      <w:pPr>
        <w:ind w:firstLine="640" w:firstLineChars="200"/>
        <w:rPr>
          <w:rFonts w:hint="eastAsia" w:ascii="仿宋" w:hAnsi="仿宋" w:eastAsia="仿宋" w:cs="仿宋"/>
          <w:i w:val="0"/>
          <w:iCs w:val="0"/>
          <w:caps w:val="0"/>
          <w:color w:val="FF0000"/>
          <w:spacing w:val="0"/>
          <w:sz w:val="32"/>
          <w:szCs w:val="32"/>
          <w:shd w:val="clear" w:fill="FFFFFF"/>
        </w:rPr>
      </w:pPr>
      <w:r>
        <w:rPr>
          <w:rFonts w:hint="eastAsia" w:ascii="仿宋" w:hAnsi="仿宋" w:eastAsia="仿宋" w:cs="仿宋"/>
          <w:color w:val="FF0000"/>
          <w:sz w:val="32"/>
          <w:szCs w:val="32"/>
          <w:lang w:val="en-US" w:eastAsia="zh-CN"/>
        </w:rPr>
        <w:t>15.</w:t>
      </w:r>
      <w:r>
        <w:rPr>
          <w:rFonts w:hint="eastAsia" w:ascii="仿宋" w:hAnsi="仿宋" w:eastAsia="仿宋" w:cs="仿宋"/>
          <w:i w:val="0"/>
          <w:iCs w:val="0"/>
          <w:caps w:val="0"/>
          <w:color w:val="FF0000"/>
          <w:spacing w:val="0"/>
          <w:sz w:val="32"/>
          <w:szCs w:val="32"/>
          <w:shd w:val="clear" w:fill="FFFFFF"/>
        </w:rPr>
        <w:t>至少2个显示终端，分别适配医护人员操作、患者使用双场景，实现医患操作/互动分离。</w:t>
      </w:r>
    </w:p>
    <w:p w14:paraId="2B58283F">
      <w:pPr>
        <w:ind w:firstLine="640" w:firstLineChars="200"/>
        <w:rPr>
          <w:rFonts w:hint="default" w:ascii="仿宋" w:hAnsi="仿宋" w:eastAsia="仿宋" w:cs="仿宋"/>
          <w:i w:val="0"/>
          <w:iCs w:val="0"/>
          <w:caps w:val="0"/>
          <w:color w:val="FF0000"/>
          <w:spacing w:val="0"/>
          <w:sz w:val="32"/>
          <w:szCs w:val="32"/>
          <w:shd w:val="clear" w:fill="FFFFFF"/>
          <w:lang w:val="en-US" w:eastAsia="zh-CN"/>
        </w:rPr>
      </w:pPr>
      <w:r>
        <w:rPr>
          <w:rFonts w:hint="eastAsia" w:ascii="仿宋" w:hAnsi="仿宋" w:eastAsia="仿宋" w:cs="仿宋"/>
          <w:i w:val="0"/>
          <w:iCs w:val="0"/>
          <w:caps w:val="0"/>
          <w:color w:val="FF0000"/>
          <w:spacing w:val="0"/>
          <w:sz w:val="32"/>
          <w:szCs w:val="32"/>
          <w:shd w:val="clear" w:fill="FFFFFF"/>
          <w:lang w:val="en-US" w:eastAsia="zh-CN"/>
        </w:rPr>
        <w:t>16.具有数据管理功能，可实现实时查询，数据统计等。</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3"/>
        <w:gridCol w:w="2083"/>
        <w:gridCol w:w="3019"/>
      </w:tblGrid>
      <w:tr w14:paraId="20C1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5" w:type="dxa"/>
            <w:gridSpan w:val="3"/>
          </w:tcPr>
          <w:p w14:paraId="5317E70E">
            <w:pPr>
              <w:jc w:val="center"/>
              <w:rPr>
                <w:rFonts w:hint="eastAsia"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color w:val="FF0000"/>
                <w:sz w:val="30"/>
                <w:szCs w:val="30"/>
                <w:vertAlign w:val="baseline"/>
                <w:lang w:val="en-US" w:eastAsia="zh-CN"/>
              </w:rPr>
              <w:t>参考配置清单(包含但不限于）</w:t>
            </w:r>
          </w:p>
        </w:tc>
      </w:tr>
      <w:tr w14:paraId="602E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3" w:type="dxa"/>
            <w:vAlign w:val="top"/>
          </w:tcPr>
          <w:p w14:paraId="0BCB0123">
            <w:pPr>
              <w:rPr>
                <w:rFonts w:hint="eastAsia"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color w:val="FF0000"/>
                <w:sz w:val="30"/>
                <w:szCs w:val="30"/>
                <w:vertAlign w:val="baseline"/>
                <w:lang w:val="en-US" w:eastAsia="zh-CN"/>
              </w:rPr>
              <w:t>名称</w:t>
            </w:r>
          </w:p>
        </w:tc>
        <w:tc>
          <w:tcPr>
            <w:tcW w:w="2083" w:type="dxa"/>
            <w:vAlign w:val="top"/>
          </w:tcPr>
          <w:p w14:paraId="68094438">
            <w:pPr>
              <w:rPr>
                <w:rFonts w:hint="eastAsia"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color w:val="FF0000"/>
                <w:sz w:val="30"/>
                <w:szCs w:val="30"/>
                <w:vertAlign w:val="baseline"/>
                <w:lang w:val="en-US" w:eastAsia="zh-CN"/>
              </w:rPr>
              <w:t>单位</w:t>
            </w:r>
          </w:p>
        </w:tc>
        <w:tc>
          <w:tcPr>
            <w:tcW w:w="3019" w:type="dxa"/>
            <w:vAlign w:val="top"/>
          </w:tcPr>
          <w:p w14:paraId="7FA84EB8">
            <w:pPr>
              <w:rPr>
                <w:rFonts w:hint="eastAsia"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color w:val="FF0000"/>
                <w:sz w:val="30"/>
                <w:szCs w:val="30"/>
                <w:vertAlign w:val="baseline"/>
                <w:lang w:val="en-US" w:eastAsia="zh-CN"/>
              </w:rPr>
              <w:t>数量</w:t>
            </w:r>
          </w:p>
        </w:tc>
      </w:tr>
      <w:tr w14:paraId="4430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3" w:type="dxa"/>
          </w:tcPr>
          <w:p w14:paraId="7C489FFC">
            <w:pPr>
              <w:rPr>
                <w:rFonts w:hint="eastAsia" w:ascii="仿宋" w:hAnsi="仿宋" w:eastAsia="仿宋" w:cs="仿宋"/>
                <w:i w:val="0"/>
                <w:iCs w:val="0"/>
                <w:caps w:val="0"/>
                <w:color w:val="FF0000"/>
                <w:spacing w:val="0"/>
                <w:sz w:val="32"/>
                <w:szCs w:val="32"/>
                <w:shd w:val="clear" w:color="auto" w:fill="auto"/>
                <w:vertAlign w:val="baseline"/>
                <w:lang w:val="en-US" w:eastAsia="zh-CN"/>
              </w:rPr>
            </w:pPr>
            <w:r>
              <w:rPr>
                <w:rFonts w:hint="eastAsia" w:ascii="仿宋" w:hAnsi="仿宋" w:eastAsia="仿宋" w:cs="仿宋"/>
                <w:i w:val="0"/>
                <w:iCs w:val="0"/>
                <w:caps w:val="0"/>
                <w:color w:val="FF0000"/>
                <w:spacing w:val="0"/>
                <w:sz w:val="32"/>
                <w:szCs w:val="32"/>
                <w:shd w:val="clear" w:color="auto" w:fill="auto"/>
              </w:rPr>
              <w:t>主机</w:t>
            </w:r>
          </w:p>
        </w:tc>
        <w:tc>
          <w:tcPr>
            <w:tcW w:w="2083" w:type="dxa"/>
          </w:tcPr>
          <w:p w14:paraId="08DE44B2">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台</w:t>
            </w:r>
          </w:p>
        </w:tc>
        <w:tc>
          <w:tcPr>
            <w:tcW w:w="3019" w:type="dxa"/>
          </w:tcPr>
          <w:p w14:paraId="2D9AA07C">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r w14:paraId="05E2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3" w:type="dxa"/>
          </w:tcPr>
          <w:p w14:paraId="2C174295">
            <w:pPr>
              <w:rPr>
                <w:rFonts w:hint="eastAsia" w:ascii="仿宋" w:hAnsi="仿宋" w:eastAsia="仿宋" w:cs="仿宋"/>
                <w:i w:val="0"/>
                <w:iCs w:val="0"/>
                <w:caps w:val="0"/>
                <w:color w:val="FF0000"/>
                <w:spacing w:val="0"/>
                <w:sz w:val="32"/>
                <w:szCs w:val="32"/>
                <w:shd w:val="clear" w:color="auto" w:fill="auto"/>
                <w:vertAlign w:val="baseline"/>
                <w:lang w:val="en-US" w:eastAsia="zh-CN"/>
              </w:rPr>
            </w:pPr>
            <w:r>
              <w:rPr>
                <w:rFonts w:hint="eastAsia" w:ascii="仿宋" w:hAnsi="仿宋" w:eastAsia="仿宋" w:cs="仿宋"/>
                <w:i w:val="0"/>
                <w:iCs w:val="0"/>
                <w:caps w:val="0"/>
                <w:color w:val="FF0000"/>
                <w:spacing w:val="0"/>
                <w:sz w:val="32"/>
                <w:szCs w:val="32"/>
                <w:shd w:val="clear" w:color="auto" w:fill="auto"/>
              </w:rPr>
              <w:t>座椅</w:t>
            </w:r>
          </w:p>
        </w:tc>
        <w:tc>
          <w:tcPr>
            <w:tcW w:w="2083" w:type="dxa"/>
          </w:tcPr>
          <w:p w14:paraId="165F5DF8">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台</w:t>
            </w:r>
          </w:p>
        </w:tc>
        <w:tc>
          <w:tcPr>
            <w:tcW w:w="3019" w:type="dxa"/>
          </w:tcPr>
          <w:p w14:paraId="1E9FB57E">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r w14:paraId="41E8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3" w:type="dxa"/>
          </w:tcPr>
          <w:p w14:paraId="3AA9C2F5">
            <w:pPr>
              <w:rPr>
                <w:rFonts w:hint="eastAsia" w:ascii="仿宋" w:hAnsi="仿宋" w:eastAsia="仿宋" w:cs="仿宋"/>
                <w:i w:val="0"/>
                <w:iCs w:val="0"/>
                <w:caps w:val="0"/>
                <w:color w:val="FF0000"/>
                <w:spacing w:val="0"/>
                <w:sz w:val="32"/>
                <w:szCs w:val="32"/>
                <w:shd w:val="clear" w:color="auto" w:fill="auto"/>
                <w:vertAlign w:val="baseline"/>
                <w:lang w:val="en-US" w:eastAsia="zh-CN"/>
              </w:rPr>
            </w:pPr>
            <w:r>
              <w:rPr>
                <w:rFonts w:hint="eastAsia" w:ascii="仿宋" w:hAnsi="仿宋" w:eastAsia="仿宋" w:cs="仿宋"/>
                <w:i w:val="0"/>
                <w:iCs w:val="0"/>
                <w:caps w:val="0"/>
                <w:color w:val="FF0000"/>
                <w:spacing w:val="0"/>
                <w:sz w:val="32"/>
                <w:szCs w:val="32"/>
                <w:shd w:val="clear" w:color="auto" w:fill="auto"/>
              </w:rPr>
              <w:t>刺激线圈</w:t>
            </w:r>
          </w:p>
        </w:tc>
        <w:tc>
          <w:tcPr>
            <w:tcW w:w="2083" w:type="dxa"/>
          </w:tcPr>
          <w:p w14:paraId="039F67CB">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台</w:t>
            </w:r>
          </w:p>
        </w:tc>
        <w:tc>
          <w:tcPr>
            <w:tcW w:w="3019" w:type="dxa"/>
          </w:tcPr>
          <w:p w14:paraId="7AB60E14">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r w14:paraId="22E7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3" w:type="dxa"/>
          </w:tcPr>
          <w:p w14:paraId="1C238C05">
            <w:pPr>
              <w:rPr>
                <w:rFonts w:hint="eastAsia" w:ascii="仿宋" w:hAnsi="仿宋" w:eastAsia="仿宋" w:cs="仿宋"/>
                <w:i w:val="0"/>
                <w:iCs w:val="0"/>
                <w:caps w:val="0"/>
                <w:color w:val="FF0000"/>
                <w:spacing w:val="0"/>
                <w:sz w:val="32"/>
                <w:szCs w:val="32"/>
                <w:shd w:val="clear" w:color="auto" w:fill="auto"/>
                <w:vertAlign w:val="baseline"/>
                <w:lang w:val="en-US" w:eastAsia="zh-CN"/>
              </w:rPr>
            </w:pPr>
            <w:r>
              <w:rPr>
                <w:rFonts w:hint="eastAsia" w:ascii="仿宋" w:hAnsi="仿宋" w:eastAsia="仿宋" w:cs="仿宋"/>
                <w:i w:val="0"/>
                <w:iCs w:val="0"/>
                <w:caps w:val="0"/>
                <w:color w:val="FF0000"/>
                <w:spacing w:val="0"/>
                <w:sz w:val="32"/>
                <w:szCs w:val="32"/>
                <w:shd w:val="clear" w:color="auto" w:fill="auto"/>
              </w:rPr>
              <w:t>磁刺激仪软件</w:t>
            </w:r>
          </w:p>
        </w:tc>
        <w:tc>
          <w:tcPr>
            <w:tcW w:w="2083" w:type="dxa"/>
          </w:tcPr>
          <w:p w14:paraId="4B0A96A2">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台</w:t>
            </w:r>
          </w:p>
        </w:tc>
        <w:tc>
          <w:tcPr>
            <w:tcW w:w="3019" w:type="dxa"/>
          </w:tcPr>
          <w:p w14:paraId="0BF42260">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r w14:paraId="1161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3" w:type="dxa"/>
          </w:tcPr>
          <w:p w14:paraId="3699F8CA">
            <w:pPr>
              <w:rPr>
                <w:rFonts w:hint="eastAsia" w:ascii="仿宋" w:hAnsi="仿宋" w:eastAsia="仿宋" w:cs="仿宋"/>
                <w:i w:val="0"/>
                <w:iCs w:val="0"/>
                <w:caps w:val="0"/>
                <w:color w:val="FF0000"/>
                <w:spacing w:val="0"/>
                <w:sz w:val="32"/>
                <w:szCs w:val="32"/>
                <w:shd w:val="clear" w:color="auto" w:fill="auto"/>
              </w:rPr>
            </w:pPr>
            <w:r>
              <w:rPr>
                <w:rFonts w:hint="eastAsia" w:ascii="仿宋" w:hAnsi="仿宋" w:eastAsia="仿宋" w:cs="仿宋"/>
                <w:i w:val="0"/>
                <w:iCs w:val="0"/>
                <w:caps w:val="0"/>
                <w:color w:val="FF0000"/>
                <w:spacing w:val="0"/>
                <w:sz w:val="32"/>
                <w:szCs w:val="32"/>
                <w:shd w:val="clear" w:color="auto" w:fill="auto"/>
              </w:rPr>
              <w:t>压力套件</w:t>
            </w:r>
          </w:p>
        </w:tc>
        <w:tc>
          <w:tcPr>
            <w:tcW w:w="2083" w:type="dxa"/>
          </w:tcPr>
          <w:p w14:paraId="325212E4">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套</w:t>
            </w:r>
          </w:p>
        </w:tc>
        <w:tc>
          <w:tcPr>
            <w:tcW w:w="3019" w:type="dxa"/>
          </w:tcPr>
          <w:p w14:paraId="599A38DF">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r w14:paraId="4567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3" w:type="dxa"/>
          </w:tcPr>
          <w:p w14:paraId="51FD62C8">
            <w:pPr>
              <w:rPr>
                <w:rFonts w:hint="eastAsia" w:ascii="仿宋" w:hAnsi="仿宋" w:eastAsia="仿宋" w:cs="仿宋"/>
                <w:i w:val="0"/>
                <w:iCs w:val="0"/>
                <w:caps w:val="0"/>
                <w:color w:val="FF0000"/>
                <w:spacing w:val="0"/>
                <w:sz w:val="32"/>
                <w:szCs w:val="32"/>
                <w:shd w:val="clear" w:color="auto" w:fill="auto"/>
              </w:rPr>
            </w:pPr>
            <w:r>
              <w:rPr>
                <w:rFonts w:hint="eastAsia" w:ascii="仿宋" w:hAnsi="仿宋" w:eastAsia="仿宋" w:cs="仿宋"/>
                <w:i w:val="0"/>
                <w:iCs w:val="0"/>
                <w:caps w:val="0"/>
                <w:color w:val="FF0000"/>
                <w:spacing w:val="0"/>
                <w:sz w:val="32"/>
                <w:szCs w:val="32"/>
                <w:shd w:val="clear" w:color="auto" w:fill="auto"/>
              </w:rPr>
              <w:t>运动诱发电位检查模块</w:t>
            </w:r>
          </w:p>
        </w:tc>
        <w:tc>
          <w:tcPr>
            <w:tcW w:w="2083" w:type="dxa"/>
          </w:tcPr>
          <w:p w14:paraId="65FEE18F">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套</w:t>
            </w:r>
          </w:p>
        </w:tc>
        <w:tc>
          <w:tcPr>
            <w:tcW w:w="3019" w:type="dxa"/>
          </w:tcPr>
          <w:p w14:paraId="64A9FAA2">
            <w:pPr>
              <w:rPr>
                <w:rFonts w:hint="default" w:ascii="仿宋" w:hAnsi="仿宋" w:eastAsia="仿宋" w:cs="仿宋"/>
                <w:i w:val="0"/>
                <w:iCs w:val="0"/>
                <w:caps w:val="0"/>
                <w:color w:val="FF0000"/>
                <w:spacing w:val="0"/>
                <w:sz w:val="32"/>
                <w:szCs w:val="32"/>
                <w:shd w:val="clear" w:fill="FFFFFF"/>
                <w:vertAlign w:val="baseli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bl>
    <w:p w14:paraId="4B9D6ED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eastAsia="zh-CN"/>
        </w:rPr>
      </w:pPr>
      <w:r>
        <w:rPr>
          <w:rFonts w:hint="eastAsia" w:ascii="仿宋_GB2312" w:hAnsi="仿宋_GB2312" w:eastAsia="仿宋_GB2312" w:cs="仿宋_GB2312"/>
          <w:sz w:val="32"/>
          <w:szCs w:val="32"/>
          <w:lang w:eastAsia="zh-CN"/>
        </w:rPr>
        <w:t>（</w:t>
      </w:r>
      <w:r>
        <w:t>打“</w:t>
      </w:r>
      <w:r>
        <w:rPr>
          <w:rFonts w:hint="eastAsia" w:ascii="宋体" w:hAnsi="宋体" w:eastAsia="宋体" w:cs="宋体"/>
        </w:rPr>
        <w:t>★</w:t>
      </w:r>
      <w:r>
        <w:rPr>
          <w:rFonts w:ascii="Calibri" w:hAnsi="Calibri" w:cs="Calibri"/>
        </w:rPr>
        <w:t>”</w:t>
      </w:r>
      <w:r>
        <w:t>号条款为实质性条款，若有任何一条不满足则导致投标无效。打“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条款不满足，将根据评审要求影响其得分，但不作为无效投标条款。</w:t>
      </w:r>
      <w:r>
        <w:rPr>
          <w:rFonts w:hint="eastAsia"/>
          <w:lang w:eastAsia="zh-CN"/>
        </w:rPr>
        <w:t>）</w:t>
      </w:r>
    </w:p>
    <w:p w14:paraId="6467F67A">
      <w:pPr>
        <w:numPr>
          <w:ilvl w:val="0"/>
          <w:numId w:val="0"/>
        </w:numPr>
        <w:spacing w:line="360" w:lineRule="auto"/>
        <w:ind w:firstLine="640" w:firstLineChars="200"/>
        <w:rPr>
          <w:rFonts w:hint="eastAsia" w:ascii="仿宋" w:hAnsi="仿宋" w:eastAsia="仿宋"/>
          <w:color w:val="auto"/>
          <w:sz w:val="32"/>
          <w:szCs w:val="32"/>
        </w:rPr>
      </w:pPr>
      <w:r>
        <w:rPr>
          <w:rFonts w:hint="eastAsia" w:ascii="仿宋" w:hAnsi="仿宋" w:eastAsia="仿宋"/>
          <w:color w:val="auto"/>
          <w:sz w:val="32"/>
          <w:szCs w:val="32"/>
          <w:lang w:val="en-US" w:eastAsia="zh-CN"/>
        </w:rPr>
        <w:t>2.</w:t>
      </w:r>
      <w:r>
        <w:rPr>
          <w:rFonts w:hint="eastAsia" w:ascii="仿宋" w:hAnsi="仿宋" w:eastAsia="仿宋"/>
          <w:color w:val="auto"/>
          <w:sz w:val="32"/>
          <w:szCs w:val="32"/>
        </w:rPr>
        <w:t>商务要求：</w:t>
      </w:r>
    </w:p>
    <w:p w14:paraId="6DC6937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b/>
          <w:sz w:val="32"/>
          <w:szCs w:val="32"/>
          <w:lang w:eastAsia="zh-CN"/>
        </w:rPr>
      </w:pPr>
      <w:r>
        <w:rPr>
          <w:rFonts w:hint="eastAsia" w:ascii="楷体_GB2312" w:eastAsia="楷体_GB2312"/>
          <w:b/>
          <w:sz w:val="32"/>
          <w:szCs w:val="32"/>
          <w:lang w:val="en-US" w:eastAsia="zh-CN"/>
        </w:rPr>
        <w:t>（一）</w:t>
      </w:r>
      <w:r>
        <w:rPr>
          <w:rFonts w:hint="eastAsia" w:ascii="楷体_GB2312" w:eastAsia="楷体_GB2312"/>
          <w:b/>
          <w:sz w:val="32"/>
          <w:szCs w:val="32"/>
        </w:rPr>
        <w:t>供货方案及安装调试、培训</w:t>
      </w:r>
      <w:r>
        <w:rPr>
          <w:rFonts w:hint="eastAsia" w:ascii="楷体_GB2312" w:eastAsia="楷体_GB2312"/>
          <w:b/>
          <w:sz w:val="32"/>
          <w:szCs w:val="32"/>
          <w:lang w:eastAsia="zh-CN"/>
        </w:rPr>
        <w:t>方案。</w:t>
      </w:r>
    </w:p>
    <w:p w14:paraId="77F90D1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FF0000"/>
          <w:sz w:val="32"/>
          <w:szCs w:val="32"/>
        </w:rPr>
        <w:t>合同签订生效后30个日历天内，</w:t>
      </w:r>
      <w:r>
        <w:rPr>
          <w:rFonts w:hint="eastAsia" w:ascii="仿宋_GB2312" w:hAnsi="仿宋_GB2312" w:eastAsia="仿宋_GB2312" w:cs="仿宋_GB2312"/>
          <w:sz w:val="32"/>
          <w:szCs w:val="32"/>
        </w:rPr>
        <w:t>完成到货安装调试并提交采购人试用。</w:t>
      </w:r>
      <w:r>
        <w:rPr>
          <w:rFonts w:hint="eastAsia" w:ascii="仿宋_GB2312" w:hAnsi="仿宋_GB2312" w:eastAsia="仿宋_GB2312" w:cs="仿宋_GB2312"/>
          <w:sz w:val="32"/>
          <w:szCs w:val="32"/>
          <w:lang w:eastAsia="zh-CN"/>
        </w:rPr>
        <w:t>投标人应当采取有效措施确保投标产品的规格、性能、校对等符合国家标准、行业标准等质量的管理规定要求，保障投标产品的质量。</w:t>
      </w:r>
      <w:r>
        <w:rPr>
          <w:rFonts w:hint="eastAsia" w:ascii="仿宋_GB2312" w:hAnsi="仿宋_GB2312" w:eastAsia="仿宋_GB2312" w:cs="仿宋_GB2312"/>
          <w:sz w:val="32"/>
          <w:szCs w:val="32"/>
        </w:rPr>
        <w:t>投标人须提供所投产品完整的配置清单。培训要求：中标人负责培训采购人有关技术人员，直至掌握操作技术为止。在仪器正常使用期间，中标人须负责该设备的技术咨询。</w:t>
      </w:r>
    </w:p>
    <w:p w14:paraId="17FE6C5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b/>
          <w:sz w:val="32"/>
          <w:szCs w:val="32"/>
          <w:lang w:eastAsia="zh-CN"/>
        </w:rPr>
      </w:pPr>
      <w:r>
        <w:rPr>
          <w:rFonts w:hint="eastAsia" w:ascii="楷体_GB2312" w:eastAsia="楷体_GB2312"/>
          <w:b/>
          <w:sz w:val="32"/>
          <w:szCs w:val="32"/>
          <w:lang w:eastAsia="zh-CN"/>
        </w:rPr>
        <w:t>（二）</w:t>
      </w:r>
      <w:r>
        <w:rPr>
          <w:rFonts w:hint="eastAsia" w:ascii="楷体_GB2312" w:eastAsia="楷体_GB2312"/>
          <w:b/>
          <w:sz w:val="32"/>
          <w:szCs w:val="32"/>
        </w:rPr>
        <w:t>验收</w:t>
      </w:r>
      <w:r>
        <w:rPr>
          <w:rFonts w:hint="eastAsia" w:ascii="楷体_GB2312" w:eastAsia="楷体_GB2312"/>
          <w:b/>
          <w:sz w:val="32"/>
          <w:szCs w:val="32"/>
          <w:lang w:eastAsia="zh-CN"/>
        </w:rPr>
        <w:t>要求方案。</w:t>
      </w:r>
    </w:p>
    <w:p w14:paraId="718671D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验收时间：设备安装调试完毕后并</w:t>
      </w:r>
      <w:r>
        <w:rPr>
          <w:rFonts w:hint="eastAsia" w:ascii="仿宋_GB2312" w:hAnsi="仿宋_GB2312" w:eastAsia="仿宋_GB2312" w:cs="仿宋_GB2312"/>
          <w:color w:val="FF0000"/>
          <w:sz w:val="32"/>
          <w:szCs w:val="32"/>
        </w:rPr>
        <w:t>试用一</w:t>
      </w:r>
      <w:r>
        <w:rPr>
          <w:rFonts w:hint="eastAsia" w:ascii="仿宋_GB2312" w:hAnsi="仿宋_GB2312" w:eastAsia="仿宋_GB2312" w:cs="仿宋_GB2312"/>
          <w:color w:val="FF0000"/>
          <w:sz w:val="32"/>
          <w:szCs w:val="32"/>
          <w:lang w:eastAsia="zh-CN"/>
        </w:rPr>
        <w:t>个月</w:t>
      </w:r>
      <w:r>
        <w:rPr>
          <w:rFonts w:hint="eastAsia" w:ascii="仿宋_GB2312" w:hAnsi="仿宋_GB2312" w:eastAsia="仿宋_GB2312" w:cs="仿宋_GB2312"/>
          <w:sz w:val="32"/>
          <w:szCs w:val="32"/>
        </w:rPr>
        <w:t>后进行，中标人应提交相应的验收资料协助采购人进行验收。</w:t>
      </w:r>
    </w:p>
    <w:p w14:paraId="0F30E8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验收方法：由采购人使用部门人员、医疗器械工程师及中标人相关人员共同对设备产品质量和技术指标进行检验。</w:t>
      </w:r>
    </w:p>
    <w:p w14:paraId="1989FD7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验收标准</w:t>
      </w:r>
      <w:r>
        <w:rPr>
          <w:rFonts w:hint="eastAsia" w:ascii="仿宋_GB2312" w:hAnsi="仿宋_GB2312" w:eastAsia="仿宋_GB2312" w:cs="仿宋_GB2312"/>
          <w:sz w:val="32"/>
          <w:szCs w:val="32"/>
          <w:lang w:eastAsia="zh-CN"/>
        </w:rPr>
        <w:t>：</w:t>
      </w:r>
    </w:p>
    <w:p w14:paraId="693644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FF0000"/>
          <w:sz w:val="32"/>
          <w:szCs w:val="32"/>
        </w:rPr>
        <w:t>中标人提供的设备必须是全新的，出厂日期不超过</w:t>
      </w:r>
      <w:r>
        <w:rPr>
          <w:rFonts w:hint="eastAsia" w:ascii="仿宋_GB2312" w:hAnsi="仿宋_GB2312" w:eastAsia="仿宋_GB2312" w:cs="仿宋_GB2312"/>
          <w:color w:val="FF0000"/>
          <w:sz w:val="32"/>
          <w:szCs w:val="32"/>
          <w:lang w:eastAsia="zh-CN"/>
        </w:rPr>
        <w:t>半</w:t>
      </w:r>
      <w:r>
        <w:rPr>
          <w:rFonts w:hint="eastAsia" w:ascii="仿宋_GB2312" w:hAnsi="仿宋_GB2312" w:eastAsia="仿宋_GB2312" w:cs="仿宋_GB2312"/>
          <w:color w:val="FF0000"/>
          <w:sz w:val="32"/>
          <w:szCs w:val="32"/>
        </w:rPr>
        <w:t>年，</w:t>
      </w:r>
      <w:r>
        <w:rPr>
          <w:rFonts w:hint="eastAsia" w:ascii="仿宋_GB2312" w:hAnsi="仿宋_GB2312" w:eastAsia="仿宋_GB2312" w:cs="仿宋_GB2312"/>
          <w:sz w:val="32"/>
          <w:szCs w:val="32"/>
        </w:rPr>
        <w:t>且交付时原厂包装完好，无任何质量缺陷；设备中所装的软件必须是最新的版本。</w:t>
      </w:r>
    </w:p>
    <w:p w14:paraId="71D6918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中标人随设备提供设备的中文说明书、中文使用手册</w:t>
      </w:r>
      <w:r>
        <w:rPr>
          <w:rFonts w:hint="eastAsia" w:ascii="仿宋_GB2312" w:hAnsi="仿宋_GB2312" w:eastAsia="仿宋_GB2312" w:cs="仿宋_GB2312"/>
          <w:sz w:val="32"/>
          <w:szCs w:val="32"/>
          <w:lang w:eastAsia="zh-CN"/>
        </w:rPr>
        <w:t>。</w:t>
      </w:r>
    </w:p>
    <w:p w14:paraId="09AA16D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安装调试完毕后，所有设备必须能保证能正常运行并满足采购人购买时所声明的使用需求。</w:t>
      </w:r>
    </w:p>
    <w:p w14:paraId="6BD0810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b/>
          <w:sz w:val="32"/>
          <w:szCs w:val="32"/>
          <w:lang w:eastAsia="zh-CN"/>
        </w:rPr>
      </w:pPr>
      <w:r>
        <w:rPr>
          <w:rFonts w:hint="eastAsia" w:ascii="楷体_GB2312" w:eastAsia="楷体_GB2312"/>
          <w:b/>
          <w:sz w:val="32"/>
          <w:szCs w:val="32"/>
          <w:lang w:eastAsia="zh-CN"/>
        </w:rPr>
        <w:t>（三）售后服务方案。</w:t>
      </w:r>
    </w:p>
    <w:p w14:paraId="523E227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整机(含所有零配件)原厂</w:t>
      </w:r>
      <w:r>
        <w:rPr>
          <w:rFonts w:hint="eastAsia" w:ascii="仿宋_GB2312" w:hAnsi="仿宋_GB2312" w:eastAsia="仿宋_GB2312" w:cs="仿宋_GB2312"/>
          <w:color w:val="FF0000"/>
          <w:sz w:val="32"/>
          <w:szCs w:val="32"/>
        </w:rPr>
        <w:t>保修期至少</w:t>
      </w:r>
      <w:r>
        <w:rPr>
          <w:rFonts w:hint="eastAsia" w:ascii="仿宋_GB2312" w:hAnsi="仿宋_GB2312" w:eastAsia="仿宋_GB2312" w:cs="仿宋_GB2312"/>
          <w:color w:val="FF0000"/>
          <w:sz w:val="32"/>
          <w:szCs w:val="32"/>
          <w:lang w:eastAsia="zh-CN"/>
        </w:rPr>
        <w:t>三</w:t>
      </w:r>
      <w:r>
        <w:rPr>
          <w:rFonts w:hint="eastAsia" w:ascii="仿宋_GB2312" w:hAnsi="仿宋_GB2312" w:eastAsia="仿宋_GB2312" w:cs="仿宋_GB2312"/>
          <w:color w:val="FF0000"/>
          <w:sz w:val="32"/>
          <w:szCs w:val="32"/>
        </w:rPr>
        <w:t>年</w:t>
      </w:r>
      <w:r>
        <w:rPr>
          <w:rFonts w:hint="eastAsia" w:ascii="仿宋_GB2312" w:hAnsi="仿宋_GB2312" w:eastAsia="仿宋_GB2312" w:cs="仿宋_GB2312"/>
          <w:sz w:val="32"/>
          <w:szCs w:val="32"/>
        </w:rPr>
        <w:t>（在保修期内维修时提供的设备零配件须为原厂生产的合格产品），人为因素</w:t>
      </w:r>
      <w:r>
        <w:rPr>
          <w:rFonts w:hint="eastAsia" w:ascii="仿宋_GB2312" w:hAnsi="仿宋_GB2312" w:eastAsia="仿宋_GB2312" w:cs="仿宋_GB2312"/>
          <w:sz w:val="32"/>
          <w:szCs w:val="32"/>
          <w:lang w:eastAsia="zh-CN"/>
        </w:rPr>
        <w:t>除外</w:t>
      </w:r>
      <w:r>
        <w:rPr>
          <w:rFonts w:hint="eastAsia" w:ascii="仿宋_GB2312" w:hAnsi="仿宋_GB2312" w:eastAsia="仿宋_GB2312" w:cs="仿宋_GB2312"/>
          <w:sz w:val="32"/>
          <w:szCs w:val="32"/>
        </w:rPr>
        <w:t>。乙方需提供设备生产商或国内总代理上述保修方案的服务书。</w:t>
      </w:r>
    </w:p>
    <w:p w14:paraId="77A3C949">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即停机1天，延长保修期7天)，30天后若完全不能修复则由乙方更换同款整机（该费用已包含在本合同总价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保修期内至少每季度1次按生产商保养标准做1次保养（该费用已包含在本合同总价中），并出具报告交采购人设备科留存。供应商未履行前述维修和保养服务的，采购人有权不支付尾款，尾款金额不足以赔偿采购人损失的，采购人有权要求供应商承担继续赔偿责任。</w:t>
      </w:r>
    </w:p>
    <w:p w14:paraId="1C0F196D">
      <w:pPr>
        <w:pStyle w:val="6"/>
        <w:widowControl/>
        <w:numPr>
          <w:ilvl w:val="0"/>
          <w:numId w:val="0"/>
        </w:numPr>
        <w:spacing w:line="360" w:lineRule="auto"/>
        <w:ind w:leftChars="0" w:firstLine="643" w:firstLineChars="200"/>
        <w:jc w:val="left"/>
        <w:rPr>
          <w:rFonts w:hint="eastAsia" w:ascii="黑体" w:hAnsi="黑体" w:cs="Helvetica Neue"/>
          <w:b/>
          <w:color w:val="auto"/>
          <w:kern w:val="0"/>
          <w:sz w:val="32"/>
          <w:szCs w:val="32"/>
          <w:lang w:val="en-US" w:eastAsia="zh-CN"/>
        </w:rPr>
      </w:pPr>
      <w:r>
        <w:rPr>
          <w:rFonts w:hint="eastAsia" w:ascii="黑体" w:hAnsi="黑体" w:cs="Helvetica Neue"/>
          <w:b/>
          <w:color w:val="auto"/>
          <w:kern w:val="0"/>
          <w:sz w:val="32"/>
          <w:szCs w:val="32"/>
          <w:lang w:val="en-US" w:eastAsia="zh-CN"/>
        </w:rPr>
        <w:t>三、其他要求</w:t>
      </w:r>
    </w:p>
    <w:p w14:paraId="3F0130C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（一）</w:t>
      </w:r>
      <w:r>
        <w:rPr>
          <w:rFonts w:hint="eastAsia" w:ascii="仿宋_GB2312" w:hAnsi="仿宋_GB2312" w:eastAsia="仿宋_GB2312" w:cs="仿宋_GB2312"/>
          <w:color w:val="FF0000"/>
          <w:sz w:val="32"/>
          <w:szCs w:val="32"/>
        </w:rPr>
        <w:t>设备</w:t>
      </w:r>
      <w:r>
        <w:rPr>
          <w:rFonts w:hint="eastAsia" w:ascii="仿宋_GB2312" w:hAnsi="仿宋_GB2312" w:eastAsia="仿宋_GB2312" w:cs="仿宋_GB2312"/>
          <w:color w:val="FF0000"/>
          <w:sz w:val="32"/>
          <w:szCs w:val="32"/>
          <w:lang w:eastAsia="zh-CN"/>
        </w:rPr>
        <w:t>货款</w:t>
      </w:r>
      <w:r>
        <w:rPr>
          <w:rFonts w:hint="eastAsia" w:ascii="仿宋_GB2312" w:hAnsi="仿宋_GB2312" w:eastAsia="仿宋_GB2312" w:cs="仿宋_GB2312"/>
          <w:color w:val="FF0000"/>
          <w:sz w:val="32"/>
          <w:szCs w:val="32"/>
        </w:rPr>
        <w:t>分</w:t>
      </w:r>
      <w:r>
        <w:rPr>
          <w:rFonts w:hint="eastAsia" w:ascii="仿宋_GB2312" w:hAnsi="仿宋_GB2312" w:eastAsia="仿宋_GB2312" w:cs="仿宋_GB2312"/>
          <w:color w:val="FF0000"/>
          <w:sz w:val="32"/>
          <w:szCs w:val="32"/>
          <w:lang w:eastAsia="zh-CN"/>
        </w:rPr>
        <w:t>两</w:t>
      </w:r>
      <w:r>
        <w:rPr>
          <w:rFonts w:hint="eastAsia" w:ascii="仿宋_GB2312" w:hAnsi="仿宋_GB2312" w:eastAsia="仿宋_GB2312" w:cs="仿宋_GB2312"/>
          <w:color w:val="FF0000"/>
          <w:sz w:val="32"/>
          <w:szCs w:val="32"/>
        </w:rPr>
        <w:t>期支付</w:t>
      </w:r>
      <w:r>
        <w:rPr>
          <w:rFonts w:hint="eastAsia" w:ascii="仿宋_GB2312" w:hAnsi="仿宋_GB2312" w:eastAsia="仿宋_GB2312" w:cs="仿宋_GB2312"/>
          <w:color w:val="FF0000"/>
          <w:sz w:val="32"/>
          <w:szCs w:val="32"/>
          <w:lang w:eastAsia="zh-CN"/>
        </w:rPr>
        <w:t>。</w:t>
      </w:r>
      <w:r>
        <w:rPr>
          <w:rFonts w:hint="eastAsia" w:ascii="仿宋_GB2312" w:hAnsi="仿宋_GB2312" w:eastAsia="仿宋_GB2312" w:cs="仿宋_GB2312"/>
          <w:color w:val="FF0000"/>
          <w:sz w:val="32"/>
          <w:szCs w:val="32"/>
        </w:rPr>
        <w:t>安装调试完毕</w:t>
      </w:r>
      <w:r>
        <w:rPr>
          <w:rFonts w:hint="eastAsia" w:ascii="仿宋_GB2312" w:hAnsi="仿宋_GB2312" w:eastAsia="仿宋_GB2312" w:cs="仿宋_GB2312"/>
          <w:color w:val="FF0000"/>
          <w:sz w:val="32"/>
          <w:szCs w:val="32"/>
          <w:lang w:eastAsia="zh-CN"/>
        </w:rPr>
        <w:t>、验收合格并</w:t>
      </w:r>
      <w:r>
        <w:rPr>
          <w:rFonts w:hint="eastAsia" w:ascii="仿宋_GB2312" w:hAnsi="仿宋_GB2312" w:eastAsia="仿宋_GB2312" w:cs="仿宋_GB2312"/>
          <w:color w:val="FF0000"/>
          <w:sz w:val="32"/>
          <w:szCs w:val="32"/>
        </w:rPr>
        <w:t>入库后的</w:t>
      </w:r>
      <w:r>
        <w:rPr>
          <w:rFonts w:hint="eastAsia" w:ascii="仿宋_GB2312" w:hAnsi="仿宋_GB2312" w:eastAsia="仿宋_GB2312" w:cs="仿宋_GB2312"/>
          <w:color w:val="FF0000"/>
          <w:sz w:val="32"/>
          <w:szCs w:val="32"/>
          <w:lang w:eastAsia="zh-CN"/>
        </w:rPr>
        <w:t>三个月内，</w:t>
      </w:r>
      <w:r>
        <w:rPr>
          <w:rFonts w:hint="eastAsia" w:ascii="仿宋_GB2312" w:hAnsi="仿宋_GB2312" w:eastAsia="仿宋_GB2312" w:cs="仿宋_GB2312"/>
          <w:color w:val="FF0000"/>
          <w:sz w:val="32"/>
          <w:szCs w:val="32"/>
        </w:rPr>
        <w:t>支付合同总金额的</w:t>
      </w:r>
      <w:r>
        <w:rPr>
          <w:rFonts w:hint="eastAsia" w:ascii="仿宋_GB2312" w:hAnsi="仿宋_GB2312" w:eastAsia="仿宋_GB2312" w:cs="仿宋_GB2312"/>
          <w:color w:val="FF0000"/>
          <w:sz w:val="32"/>
          <w:szCs w:val="32"/>
          <w:lang w:val="en-US" w:eastAsia="zh-CN"/>
        </w:rPr>
        <w:t>90</w:t>
      </w:r>
      <w:r>
        <w:rPr>
          <w:rFonts w:hint="eastAsia" w:ascii="仿宋_GB2312" w:hAnsi="仿宋_GB2312" w:eastAsia="仿宋_GB2312" w:cs="仿宋_GB2312"/>
          <w:color w:val="FF0000"/>
          <w:sz w:val="32"/>
          <w:szCs w:val="32"/>
        </w:rPr>
        <w:t>%；合同签订生效十八个月后，确认</w:t>
      </w:r>
      <w:r>
        <w:rPr>
          <w:rFonts w:hint="eastAsia" w:ascii="仿宋_GB2312" w:hAnsi="仿宋_GB2312" w:eastAsia="仿宋_GB2312" w:cs="仿宋_GB2312"/>
          <w:color w:val="FF0000"/>
          <w:sz w:val="32"/>
          <w:szCs w:val="32"/>
          <w:lang w:eastAsia="zh-CN"/>
        </w:rPr>
        <w:t>无其他</w:t>
      </w:r>
      <w:r>
        <w:rPr>
          <w:rFonts w:hint="eastAsia" w:ascii="仿宋_GB2312" w:hAnsi="仿宋_GB2312" w:eastAsia="仿宋_GB2312" w:cs="仿宋_GB2312"/>
          <w:color w:val="FF0000"/>
          <w:sz w:val="32"/>
          <w:szCs w:val="32"/>
        </w:rPr>
        <w:t>扣款事项后30个工作</w:t>
      </w:r>
      <w:r>
        <w:rPr>
          <w:rFonts w:hint="eastAsia" w:ascii="仿宋_GB2312" w:hAnsi="仿宋_GB2312" w:eastAsia="仿宋_GB2312" w:cs="仿宋_GB2312"/>
          <w:color w:val="FF0000"/>
          <w:sz w:val="32"/>
          <w:szCs w:val="32"/>
          <w:lang w:eastAsia="zh-CN"/>
        </w:rPr>
        <w:t>日内，</w:t>
      </w:r>
      <w:r>
        <w:rPr>
          <w:rFonts w:hint="eastAsia" w:ascii="仿宋_GB2312" w:hAnsi="仿宋_GB2312" w:eastAsia="仿宋_GB2312" w:cs="仿宋_GB2312"/>
          <w:color w:val="FF0000"/>
          <w:sz w:val="32"/>
          <w:szCs w:val="32"/>
        </w:rPr>
        <w:t>支付余下款项（合同总金额的</w:t>
      </w:r>
      <w:r>
        <w:rPr>
          <w:rFonts w:hint="eastAsia" w:ascii="仿宋_GB2312" w:hAnsi="仿宋_GB2312" w:eastAsia="仿宋_GB2312" w:cs="仿宋_GB2312"/>
          <w:color w:val="FF0000"/>
          <w:sz w:val="32"/>
          <w:szCs w:val="32"/>
          <w:lang w:val="en-US" w:eastAsia="zh-CN"/>
        </w:rPr>
        <w:t>1</w:t>
      </w:r>
      <w:r>
        <w:rPr>
          <w:rFonts w:hint="eastAsia" w:ascii="仿宋_GB2312" w:hAnsi="仿宋_GB2312" w:eastAsia="仿宋_GB2312" w:cs="仿宋_GB2312"/>
          <w:color w:val="FF0000"/>
          <w:sz w:val="32"/>
          <w:szCs w:val="32"/>
        </w:rPr>
        <w:t>0%）。</w:t>
      </w:r>
    </w:p>
    <w:p w14:paraId="3E143D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（二）如报价产品在使用过程中如需消耗耗材或试剂，必须在标书内列明并报价格、</w:t>
      </w:r>
      <w:r>
        <w:rPr>
          <w:rFonts w:hint="eastAsia" w:ascii="仿宋_GB2312" w:hAnsi="仿宋_GB2312" w:eastAsia="仿宋_GB2312" w:cs="仿宋_GB2312"/>
          <w:sz w:val="32"/>
          <w:szCs w:val="32"/>
        </w:rPr>
        <w:t>药品和医用耗材招采管理系统(广东省)</w:t>
      </w:r>
      <w:r>
        <w:rPr>
          <w:rFonts w:hint="eastAsia" w:ascii="仿宋_GB2312" w:hAnsi="仿宋_GB2312" w:eastAsia="仿宋_GB2312" w:cs="仿宋_GB2312"/>
          <w:sz w:val="32"/>
          <w:szCs w:val="32"/>
          <w:lang w:eastAsia="zh-CN"/>
        </w:rPr>
        <w:t>耗材</w:t>
      </w:r>
      <w:r>
        <w:rPr>
          <w:rFonts w:hint="eastAsia" w:ascii="仿宋_GB2312" w:hAnsi="仿宋_GB2312" w:eastAsia="仿宋_GB2312" w:cs="仿宋_GB2312"/>
          <w:sz w:val="32"/>
          <w:szCs w:val="32"/>
        </w:rPr>
        <w:t>编号（药交耗材ID）</w:t>
      </w:r>
      <w:r>
        <w:rPr>
          <w:rFonts w:hint="eastAsia" w:ascii="仿宋_GB2312" w:hAnsi="仿宋_GB2312" w:eastAsia="仿宋_GB2312" w:cs="仿宋_GB2312"/>
          <w:sz w:val="32"/>
          <w:szCs w:val="32"/>
          <w:lang w:eastAsia="zh-CN"/>
        </w:rPr>
        <w:t>。报价单中未明确的专机专用耗材（配套耗材、非械耗材），默认为免费提供配套使用。</w:t>
      </w:r>
    </w:p>
    <w:p w14:paraId="0ED53A7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本项目所述产品及技术要求，应视为保证项目投入运行所需的最低要求，并无指定。投标人可选用技术参数相当或更优的产品进行响应，也可以对产品配套的细节部分加以明确和优化。</w:t>
      </w:r>
    </w:p>
    <w:p w14:paraId="16F1145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响应报价应为交付采购人使用前（包括伴随服务）的总价格。应包括设备费、备品备件费、各种税费、相关费用（运输、包装、安装调试费、装卸费、保险费）以及伴随服务费(验收、首次计量校准、培训、维修等的售后服务)等的一切费用。</w:t>
      </w:r>
    </w:p>
    <w:p w14:paraId="5E35965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投标供应商（或厂家）需承诺免费承担与临床信息系统接口费用</w:t>
      </w:r>
      <w:r>
        <w:rPr>
          <w:rFonts w:hint="eastAsia" w:ascii="仿宋_GB2312" w:hAnsi="仿宋_GB2312" w:eastAsia="仿宋_GB2312" w:cs="仿宋_GB2312"/>
          <w:sz w:val="32"/>
          <w:szCs w:val="32"/>
          <w:lang w:eastAsia="zh-CN"/>
        </w:rPr>
        <w:t>。（提供</w:t>
      </w:r>
      <w:r>
        <w:rPr>
          <w:rFonts w:hint="eastAsia" w:ascii="仿宋_GB2312" w:hAnsi="仿宋_GB2312" w:eastAsia="仿宋_GB2312" w:cs="仿宋_GB2312"/>
          <w:sz w:val="32"/>
          <w:szCs w:val="32"/>
        </w:rPr>
        <w:t>承诺</w:t>
      </w:r>
      <w:r>
        <w:rPr>
          <w:rFonts w:hint="eastAsia" w:ascii="仿宋_GB2312" w:hAnsi="仿宋_GB2312" w:eastAsia="仿宋_GB2312" w:cs="仿宋_GB2312"/>
          <w:sz w:val="32"/>
          <w:szCs w:val="32"/>
          <w:lang w:eastAsia="zh-CN"/>
        </w:rPr>
        <w:t>函）</w:t>
      </w:r>
    </w:p>
    <w:p w14:paraId="610C8F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投标人应保证所有投标产品是按照采购人提供的要求进行供货，如出现使用、包装等方面的问题，投标人须无条件给予退换。</w:t>
      </w:r>
    </w:p>
    <w:p w14:paraId="0C31A82D">
      <w:pPr>
        <w:numPr>
          <w:ilvl w:val="0"/>
          <w:numId w:val="0"/>
        </w:num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（七）不合格的货物将被无条件退货，由此而产生的费用将由中标供应商负责；由于提供不符合质量要求的货物而使台山市妇幼保健院增加的成本将由中标供应商补偿。</w:t>
      </w:r>
    </w:p>
    <w:p w14:paraId="7CA05EA2">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eastAsia="仿宋_GB2312"/>
          <w:color w:val="FF0000"/>
          <w:sz w:val="34"/>
          <w:szCs w:val="34"/>
          <w:lang w:eastAsia="zh-CN"/>
        </w:rPr>
      </w:pPr>
      <w:r>
        <w:rPr>
          <w:rFonts w:hint="eastAsia" w:ascii="仿宋_GB2312" w:eastAsia="仿宋_GB2312"/>
          <w:color w:val="FF0000"/>
          <w:sz w:val="34"/>
          <w:szCs w:val="34"/>
          <w:lang w:eastAsia="zh-CN"/>
        </w:rPr>
        <w:t>台山市妇幼保健院</w:t>
      </w:r>
    </w:p>
    <w:p w14:paraId="65C8D213">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eastAsia="仿宋_GB2312"/>
          <w:color w:val="FF0000"/>
          <w:sz w:val="34"/>
          <w:szCs w:val="34"/>
          <w:lang w:eastAsia="zh-CN"/>
        </w:rPr>
      </w:pPr>
      <w:r>
        <w:rPr>
          <w:rFonts w:hint="eastAsia" w:ascii="仿宋_GB2312" w:eastAsia="仿宋_GB2312"/>
          <w:color w:val="FF0000"/>
          <w:sz w:val="34"/>
          <w:szCs w:val="34"/>
          <w:lang w:val="en-US" w:eastAsia="zh-CN"/>
        </w:rPr>
        <w:t>2026</w:t>
      </w:r>
      <w:r>
        <w:rPr>
          <w:rFonts w:hint="eastAsia" w:ascii="仿宋_GB2312" w:eastAsia="仿宋_GB2312"/>
          <w:color w:val="FF0000"/>
          <w:sz w:val="34"/>
          <w:szCs w:val="34"/>
          <w:lang w:eastAsia="zh-CN"/>
        </w:rPr>
        <w:t>年</w:t>
      </w:r>
      <w:r>
        <w:rPr>
          <w:rFonts w:hint="eastAsia" w:ascii="仿宋_GB2312" w:eastAsia="仿宋_GB2312"/>
          <w:color w:val="FF0000"/>
          <w:sz w:val="34"/>
          <w:szCs w:val="34"/>
          <w:lang w:val="en-US" w:eastAsia="zh-CN"/>
        </w:rPr>
        <w:t>7</w:t>
      </w:r>
      <w:r>
        <w:rPr>
          <w:rFonts w:hint="eastAsia" w:ascii="仿宋_GB2312" w:eastAsia="仿宋_GB2312"/>
          <w:color w:val="FF0000"/>
          <w:sz w:val="34"/>
          <w:szCs w:val="34"/>
          <w:lang w:eastAsia="zh-CN"/>
        </w:rPr>
        <w:t>月</w:t>
      </w:r>
      <w:r>
        <w:rPr>
          <w:rFonts w:hint="eastAsia" w:ascii="仿宋_GB2312" w:eastAsia="仿宋_GB2312"/>
          <w:color w:val="FF0000"/>
          <w:sz w:val="34"/>
          <w:szCs w:val="34"/>
          <w:lang w:val="en-US" w:eastAsia="zh-CN"/>
        </w:rPr>
        <w:t>31</w:t>
      </w:r>
      <w:bookmarkStart w:id="0" w:name="_GoBack"/>
      <w:bookmarkEnd w:id="0"/>
      <w:r>
        <w:rPr>
          <w:rFonts w:hint="eastAsia" w:ascii="仿宋_GB2312" w:eastAsia="仿宋_GB2312"/>
          <w:color w:val="FF0000"/>
          <w:sz w:val="34"/>
          <w:szCs w:val="34"/>
          <w:lang w:eastAsia="zh-CN"/>
        </w:rPr>
        <w:t>日</w:t>
      </w:r>
    </w:p>
    <w:sectPr>
      <w:pgSz w:w="11906" w:h="16838"/>
      <w:pgMar w:top="2154"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 w:name="Cabin-Regular">
    <w:altName w:val="Calibri"/>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F81998"/>
    <w:rsid w:val="19FD0506"/>
    <w:rsid w:val="1B1E3CE1"/>
    <w:rsid w:val="227E7B0D"/>
    <w:rsid w:val="22D27EE6"/>
    <w:rsid w:val="255377C7"/>
    <w:rsid w:val="257B17F0"/>
    <w:rsid w:val="303C0B3A"/>
    <w:rsid w:val="30663651"/>
    <w:rsid w:val="32624FD8"/>
    <w:rsid w:val="37243651"/>
    <w:rsid w:val="39C009B5"/>
    <w:rsid w:val="3AB2258B"/>
    <w:rsid w:val="3D476795"/>
    <w:rsid w:val="41B71BBB"/>
    <w:rsid w:val="463A7F59"/>
    <w:rsid w:val="4F5F0947"/>
    <w:rsid w:val="51384450"/>
    <w:rsid w:val="5D7326CC"/>
    <w:rsid w:val="5DA36A54"/>
    <w:rsid w:val="5DC57059"/>
    <w:rsid w:val="61040983"/>
    <w:rsid w:val="64494F85"/>
    <w:rsid w:val="6926068C"/>
    <w:rsid w:val="6D1475E5"/>
    <w:rsid w:val="72847D6A"/>
    <w:rsid w:val="7BFC01F8"/>
    <w:rsid w:val="7DAF2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34"/>
    <w:pPr>
      <w:ind w:firstLine="420" w:firstLineChars="200"/>
    </w:pPr>
    <w:rPr>
      <w:rFonts w:eastAsia="黑体"/>
      <w:bCs/>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2149</Words>
  <Characters>2249</Characters>
  <Lines>0</Lines>
  <Paragraphs>0</Paragraphs>
  <TotalTime>14</TotalTime>
  <ScaleCrop>false</ScaleCrop>
  <LinksUpToDate>false</LinksUpToDate>
  <CharactersWithSpaces>2250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2025-02-10T01:39:00Z</dcterms:created>
  <dc:creator>sbk003</dc:creator>
  <cp:lastModifiedBy>郭伟国</cp:lastModifiedBy>
  <cp:lastPrinted>2025-02-10T01:57:00Z</cp:lastPrinted>
  <dcterms:modified xsi:type="dcterms:W3CDTF">2026-07-31T06:39:01Z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2FD1A10ED67E4C0EA015E8F2E75CB305_13</vt:lpwstr>
  </property>
  <property fmtid="{D5CDD505-2E9C-101B-9397-08002B2CF9AE}" pid="4" name="KSOTemplateDocerSaveRecord">
    <vt:lpwstr>eyJoZGlkIjoiZDVlYWQzZmQwZmFkYTA3N2NiZDRmMDAwYjRlNWI0ZTEiLCJ1c2VySWQiOiIxNTUyOTYxNTUzIn0=</vt:lpwstr>
  </property>
</Properties>
</file>