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</w:t>
      </w:r>
      <w:r>
        <w:rPr>
          <w:rFonts w:hint="eastAsia" w:ascii="宋体" w:hAnsi="宋体"/>
          <w:b/>
          <w:sz w:val="36"/>
          <w:szCs w:val="36"/>
          <w:lang w:eastAsia="zh-CN"/>
        </w:rPr>
        <w:t>审</w:t>
      </w:r>
      <w:r>
        <w:rPr>
          <w:rFonts w:hint="eastAsia" w:ascii="宋体" w:hAnsi="宋体"/>
          <w:b/>
          <w:sz w:val="36"/>
          <w:szCs w:val="36"/>
        </w:rPr>
        <w:t>方法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遴选</w:t>
      </w:r>
      <w:r>
        <w:rPr>
          <w:rFonts w:hint="eastAsia" w:ascii="宋体" w:hAnsi="宋体"/>
          <w:b/>
          <w:sz w:val="24"/>
        </w:rPr>
        <w:t>项目：</w:t>
      </w:r>
      <w:r>
        <w:rPr>
          <w:rFonts w:hint="eastAsia" w:ascii="宋体" w:hAnsi="宋体" w:eastAsia="宋体"/>
          <w:b/>
          <w:sz w:val="24"/>
          <w:lang w:val="en-US" w:eastAsia="zh-CN"/>
        </w:rPr>
        <w:t>购置铅酸电池及更换</w:t>
      </w:r>
      <w:r>
        <w:rPr>
          <w:rFonts w:hint="eastAsia" w:ascii="宋体" w:hAnsi="宋体" w:eastAsia="宋体"/>
          <w:b/>
          <w:sz w:val="24"/>
          <w:lang w:eastAsia="zh-CN"/>
        </w:rPr>
        <w:t>服务项目</w:t>
      </w:r>
      <w:r>
        <w:rPr>
          <w:rFonts w:hint="eastAsia" w:ascii="宋体" w:hAnsi="宋体"/>
          <w:b/>
          <w:sz w:val="24"/>
        </w:rPr>
        <w:t>）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文件规定的条件为原则，最低报价不作为中</w:t>
      </w:r>
      <w:r>
        <w:rPr>
          <w:rFonts w:hint="eastAsia" w:ascii="宋体" w:hAnsi="宋体"/>
          <w:sz w:val="24"/>
          <w:szCs w:val="24"/>
          <w:lang w:eastAsia="zh-CN"/>
        </w:rPr>
        <w:t>选</w:t>
      </w:r>
      <w:r>
        <w:rPr>
          <w:rFonts w:hint="eastAsia" w:ascii="宋体" w:hAnsi="宋体"/>
          <w:sz w:val="24"/>
          <w:szCs w:val="24"/>
        </w:rPr>
        <w:t>的唯一依据。</w:t>
      </w:r>
    </w:p>
    <w:p>
      <w:pPr>
        <w:pStyle w:val="5"/>
        <w:spacing w:line="60" w:lineRule="atLeast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tbl>
      <w:tblPr>
        <w:tblStyle w:val="2"/>
        <w:tblW w:w="5093" w:type="pct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59"/>
        <w:gridCol w:w="786"/>
        <w:gridCol w:w="5207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必要项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★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电气参数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额定：12V 200Ah/C10（10 小时率容量，UPS 标准 C10）；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铅酸标注：C10 容量 200Ah（10h 放电，20A 放至 10.5V），禁止 C5/C3 短时容量虚标 200Ah。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浮充电压：13.5～13.8V / 单体（25℃）；均充电压：14.4～14.7V / 单体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内阻：≤8mΩ（阀控铅酸 VRLA）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自放电：25℃每月自放电≤3%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设计寿命：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 UPS：阀控铅酸 GFM 型≥5 年，长寿命≥8~10 年（机房 UPS 优先长寿命）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放电特性：25℃，10.5V 终止电压容量≥标称 200Ah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结构与类型（UPS 只用阀控式密封铅酸 GFM）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类型：阀控密封式铅酸蓄电池 GFM-12200（免维护，机房 UPS 标配，不要开口富液式）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极柱：铜芯内螺纹端子（M8/M10，方便铜排接线）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壳体：ABS 阻燃外壳 UL94-V0，防漏液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尺寸重量：提前确认电池架 / 电池柜空间，常规 12V200Ah：约 520×240×220mm、&lt;=60kg / 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质保：机房 UPS 标配原厂质保 3 年，质保期内免费更换全新电池；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认证：国标 GB/T19638、UL、第三方检测报告；防爆、安全阀：单向排气阀，防鼓包漏酸。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核查机房承重、消防、通风、接地、走线通道，制定</w:t>
            </w:r>
            <w:r>
              <w:rPr>
                <w:rStyle w:val="4"/>
                <w:rFonts w:ascii="宋体" w:hAnsi="宋体" w:eastAsia="宋体" w:cs="宋体"/>
                <w:color w:val="000000"/>
                <w:sz w:val="24"/>
                <w:szCs w:val="24"/>
              </w:rPr>
              <w:t>不停机施工方案</w:t>
            </w:r>
            <w:r>
              <w:rPr>
                <w:rFonts w:ascii="宋体" w:hAnsi="宋体" w:eastAsia="宋体" w:cs="宋体"/>
                <w:sz w:val="24"/>
                <w:szCs w:val="24"/>
              </w:rPr>
              <w:t>（医院业务 7×24 小时不间断，严禁断电停机）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以上提供产品相关证明文件、相关承诺函并盖公章。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双人持证施工（电工证），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提供相关证件的复印件和社保证明并盖公章。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必要项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旧电池拆除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拆解铜排、连接线，做好绝缘防护，防止短路打火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废旧电池转运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至医院范围内指定地点。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Arial" w:hAnsi="Arial" w:cs="Arial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安装施工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color w:val="000000"/>
                <w:sz w:val="24"/>
                <w:szCs w:val="24"/>
              </w:rPr>
              <w:t>电池规范码放，预留散热间隙，统一固定防倾倒；更换全新铜排、阻燃绝缘护套、耐高温连接线缆、保险空开、防氧化端子；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严格规范串联接线，扭矩紧固端子，涂抹抗氧化导电膏，杜绝虚接发热起火隐患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Arial" w:hAnsi="Arial" w:cs="Arial"/>
                <w:lang w:val="en-US" w:eastAsia="zh-CN"/>
              </w:rPr>
              <w:t>4、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通电调试与性能检测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color w:val="000000"/>
                <w:sz w:val="24"/>
                <w:szCs w:val="24"/>
              </w:rPr>
              <w:t>接线完成后逐节测量单体电压、整组直流电压，排查短路、反接故障；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UPS 切回正常逆变模式，自动均充、浮充参数校准；分阶段带载放电测试：轻载 / 半载模拟断电试验，核验后备续航时长达到设计标准；记录充放电曲线、电池内阻、浮充电压，出具完整检测测试报告；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以上需提供施工方案及承诺函并盖公章。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价格得分=（最低投标价/被评分供应商投标价）×40。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20"/>
                <w:tab w:val="right" w:pos="36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服务经验要求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近三年与其他部门有类似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合作合同案例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，3例及以上，得10分；1-2例，得5分。无类似合作案例，不得分。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20"/>
                <w:tab w:val="right" w:pos="36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项目整体方案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对整个项目的熟悉程度、相关经验、用户需求的满足程度，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提供实施方案，包括但不限于服务安全应急方案、功能亮点分析等，采购方根据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方案的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  <w:t>安全性、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科学性、成熟性、合理性等内容进行评分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未提供服务方案不得分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1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</w:t>
      </w:r>
      <w:r>
        <w:rPr>
          <w:rFonts w:hint="eastAsia"/>
          <w:lang w:eastAsia="zh-CN"/>
        </w:rPr>
        <w:t>响应</w:t>
      </w:r>
      <w:r>
        <w:t>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</w:t>
      </w:r>
      <w:r>
        <w:rPr>
          <w:rFonts w:hint="eastAsia"/>
          <w:lang w:eastAsia="zh-CN"/>
        </w:rPr>
        <w:t>响应</w:t>
      </w:r>
      <w:r>
        <w:t>条款。</w:t>
      </w:r>
      <w:r>
        <w:rPr>
          <w:rFonts w:hint="eastAsia"/>
          <w:lang w:eastAsia="zh-CN"/>
        </w:rPr>
        <w:t>）</w:t>
      </w:r>
    </w:p>
    <w:p>
      <w:pPr>
        <w:spacing w:line="60" w:lineRule="atLeast"/>
        <w:rPr>
          <w:rFonts w:hint="eastAsia" w:ascii="宋体" w:hAnsi="宋体"/>
          <w:b/>
          <w:sz w:val="24"/>
          <w:szCs w:val="24"/>
        </w:rPr>
      </w:pPr>
    </w:p>
    <w:p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总分第一名为第一中标候选供应商，第二名为第二中标候选供应商，以此类推（综合评估分相同的，按投标报价由低到高顺序排列；综合评估分且投标报价相同的，按技术指标优劣顺序排列）。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39252"/>
    <w:multiLevelType w:val="singleLevel"/>
    <w:tmpl w:val="C9539252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5F0DC356"/>
    <w:multiLevelType w:val="singleLevel"/>
    <w:tmpl w:val="5F0DC356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33D2C"/>
    <w:rsid w:val="1FB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2026-06-25T03:27:00Z</dcterms:created>
  <dc:creator>钧宏-</dc:creator>
  <cp:lastModifiedBy>钧宏-</cp:lastModifiedBy>
  <dcterms:modified xsi:type="dcterms:W3CDTF">2026-06-25T03:28:46Z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A87A6636B4234EB3A4E26E1340B6F53C</vt:lpwstr>
  </property>
</Properties>
</file>