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</w:t>
      </w:r>
      <w:r>
        <w:rPr>
          <w:rFonts w:hint="eastAsia" w:ascii="宋体" w:hAnsi="宋体"/>
          <w:b/>
          <w:sz w:val="36"/>
          <w:szCs w:val="36"/>
          <w:lang w:eastAsia="zh-CN"/>
        </w:rPr>
        <w:t>审</w:t>
      </w:r>
      <w:r>
        <w:rPr>
          <w:rFonts w:hint="eastAsia" w:ascii="宋体" w:hAnsi="宋体"/>
          <w:b/>
          <w:sz w:val="36"/>
          <w:szCs w:val="36"/>
        </w:rPr>
        <w:t>方法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遴选</w:t>
      </w:r>
      <w:r>
        <w:rPr>
          <w:rFonts w:hint="eastAsia" w:ascii="宋体" w:hAnsi="宋体"/>
          <w:b/>
          <w:sz w:val="24"/>
        </w:rPr>
        <w:t>项目：</w:t>
      </w:r>
      <w:r>
        <w:rPr>
          <w:rFonts w:hint="eastAsia" w:ascii="宋体" w:hAnsi="宋体"/>
          <w:b/>
          <w:sz w:val="24"/>
          <w:lang w:eastAsia="zh-CN"/>
        </w:rPr>
        <w:t>智能语音电话和短信服务项目</w:t>
      </w:r>
      <w:r>
        <w:rPr>
          <w:rFonts w:hint="eastAsia" w:ascii="宋体" w:hAnsi="宋体"/>
          <w:b/>
          <w:sz w:val="24"/>
        </w:rPr>
        <w:t>）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b/>
          <w:sz w:val="24"/>
          <w:szCs w:val="24"/>
          <w:lang w:eastAsia="zh-CN"/>
        </w:rPr>
        <w:t>按照</w:t>
      </w:r>
      <w:r>
        <w:rPr>
          <w:rFonts w:hint="eastAsia" w:ascii="宋体" w:hAnsi="宋体"/>
          <w:sz w:val="24"/>
          <w:szCs w:val="24"/>
        </w:rPr>
        <w:t>能够最大限度地满足</w:t>
      </w:r>
      <w:r>
        <w:rPr>
          <w:rFonts w:hint="eastAsia" w:ascii="宋体" w:hAnsi="宋体"/>
          <w:sz w:val="24"/>
          <w:szCs w:val="24"/>
          <w:lang w:eastAsia="zh-CN"/>
        </w:rPr>
        <w:t>遴选</w:t>
      </w:r>
      <w:r>
        <w:rPr>
          <w:rFonts w:hint="eastAsia" w:ascii="宋体" w:hAnsi="宋体"/>
          <w:sz w:val="24"/>
          <w:szCs w:val="24"/>
        </w:rPr>
        <w:t>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</w:t>
      </w:r>
      <w:r>
        <w:rPr>
          <w:rFonts w:hint="eastAsia" w:ascii="宋体" w:hAnsi="宋体"/>
          <w:sz w:val="24"/>
          <w:szCs w:val="24"/>
          <w:lang w:eastAsia="zh-CN"/>
        </w:rPr>
        <w:t>进行评定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</w:t>
      </w:r>
      <w:r>
        <w:rPr>
          <w:rFonts w:hint="eastAsia" w:ascii="宋体" w:hAnsi="宋体"/>
          <w:sz w:val="24"/>
          <w:szCs w:val="24"/>
          <w:lang w:eastAsia="zh-CN"/>
        </w:rPr>
        <w:t>遴选</w:t>
      </w:r>
      <w:r>
        <w:rPr>
          <w:rFonts w:hint="eastAsia" w:ascii="宋体" w:hAnsi="宋体"/>
          <w:sz w:val="24"/>
          <w:szCs w:val="24"/>
        </w:rPr>
        <w:t>文件规定的条件为</w:t>
      </w:r>
      <w:r>
        <w:rPr>
          <w:rFonts w:hint="eastAsia" w:ascii="宋体" w:hAnsi="宋体"/>
          <w:sz w:val="24"/>
          <w:szCs w:val="24"/>
          <w:lang w:eastAsia="zh-CN"/>
        </w:rPr>
        <w:t>依据</w:t>
      </w:r>
      <w:r>
        <w:rPr>
          <w:rFonts w:hint="eastAsia" w:ascii="宋体" w:hAnsi="宋体"/>
          <w:sz w:val="24"/>
          <w:szCs w:val="24"/>
        </w:rPr>
        <w:t>，最低报价不作为中</w:t>
      </w:r>
      <w:r>
        <w:rPr>
          <w:rFonts w:hint="eastAsia" w:ascii="宋体" w:hAnsi="宋体"/>
          <w:sz w:val="24"/>
          <w:szCs w:val="24"/>
          <w:lang w:eastAsia="zh-CN"/>
        </w:rPr>
        <w:t>选</w:t>
      </w:r>
      <w:r>
        <w:rPr>
          <w:rFonts w:hint="eastAsia" w:ascii="宋体" w:hAnsi="宋体"/>
          <w:sz w:val="24"/>
          <w:szCs w:val="24"/>
        </w:rPr>
        <w:t>的唯一依据。</w:t>
      </w:r>
    </w:p>
    <w:p>
      <w:pPr>
        <w:pStyle w:val="4"/>
        <w:spacing w:line="60" w:lineRule="atLeast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tbl>
      <w:tblPr>
        <w:tblStyle w:val="2"/>
        <w:tblW w:w="5093" w:type="pct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59"/>
        <w:gridCol w:w="786"/>
        <w:gridCol w:w="5207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必要项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提供智能语音电话和短信服务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包括服务平台建设、外呼建模、智能语音电话（15万分钟）、短信通知（15万条）、储存通话录音等，服务期限不少于12个月。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必要项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服务能力要求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1.自院方提出智能语音或短信服务内容至成功上挂，耗时＜1个工作日，得5分；1个工作日≤耗时＜3个工作日，得3分；3个工作日≤耗时，得1分。5个工作日≤耗时，得0分。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2.每日完成智能语音呼叫量，每日呼叫量≥5000分钟，得5分；3000分钟≤每日呼叫量＜5000分钟，得3分；2000分钟≤每日呼叫量＜3000分钟，得1分；每日呼叫量小于2000分钟，不得分。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3.有效数量计算方法。接通语音电话才算呼叫次数的，得4分；不接通电话也算呼叫次数的，得2分，其他不得分。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4.批量导入外呼：Excel/CSV批量导入客户号码，自动分批拨号，支持号码去重、空号过滤、黑名单拦截。满足得2分，部分满足得1分。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5.定时外呼：自定义时段外呼（工作日白天、避开休息时间），错峰拨打降低拒接率。满足得2分，部分满足得1分。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6.并发外呼：多线路同时呼出，按需调整并发座席数，高峰扩容。满足得2分，部分满足得1分。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7.全程录音：所有通话自动录音、存储，支持按号码/时间下载回放。满足得2分，部分满足得1分。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8.通话转写归档：通话内容生成文字纪要，标注客户诉求。满足得2分，部分满足得1分。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9.外呼数据看板：接通率、空号率、挂断率、意向率、有效通话时长实时统计。满足得2分，部分满足得1分。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10.客户标签分类：自动打标（高意向、无意向、关机、停机、错号）。满足得2分，部分满足得1分。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Arial" w:hAnsi="Arial" w:cs="Arial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11.导出报表：日/周/月度数据报表，筛选分组导出。满足得2分，部分满足得0分。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12.黑名单拦截：设置禁呼号码、投诉号码，系统自动跳过拨号。满足得2分，部分满足得1分。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13.防骚扰配置：限制单日单号码呼叫频次、呼叫时段，满足工信部合规要求。满足得2分，部分满足得1分。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▲14.来电显号设置：固定企业固话/虚拟号外呼显示。满足得2分，部分满足得0分。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▲15.短信联动：通话结束自动触发短信（活动链接、地址、联系方式）。满足得2分，部分满足得0分。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16.多语种/方言：提供普通话、粤语、英语等多语种需求的录音外呼服务。满足得2分，部分满足得1分。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服务价格要求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价格得分=（最低投标价/被评分供应商投标价）×40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20"/>
                <w:tab w:val="right" w:pos="36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服务经验要求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近三年与其他部门有类似合作合同案例，3例及以上，得10分；1-2例，得5分。无类似合作案例，不得分。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20"/>
                <w:tab w:val="right" w:pos="36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项目整体方案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2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对整个项目的熟悉程度、相关经验、用户需求的满足程度，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提供实施方案，包括但不限于网络安全应急方案、功能亮点分析等，采购方根据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方案的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eastAsia="zh-CN" w:bidi="ar"/>
              </w:rPr>
              <w:t>安全性、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科学性、成熟性、合理性等内容进行评分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未提供服务方案不得分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1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</w:t>
      </w:r>
      <w:r>
        <w:rPr>
          <w:rFonts w:hint="eastAsia"/>
          <w:lang w:eastAsia="zh-CN"/>
        </w:rPr>
        <w:t>响应</w:t>
      </w:r>
      <w:r>
        <w:t>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号条款为重要技术参数（如有），若有部分“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</w:t>
      </w:r>
      <w:r>
        <w:rPr>
          <w:rFonts w:hint="eastAsia"/>
          <w:lang w:eastAsia="zh-CN"/>
        </w:rPr>
        <w:t>响应</w:t>
      </w:r>
      <w:r>
        <w:t>条款。</w:t>
      </w:r>
      <w:r>
        <w:rPr>
          <w:rFonts w:hint="eastAsia"/>
          <w:lang w:eastAsia="zh-CN"/>
        </w:rPr>
        <w:t>）</w:t>
      </w:r>
    </w:p>
    <w:p>
      <w:pPr>
        <w:spacing w:line="60" w:lineRule="atLeast"/>
        <w:rPr>
          <w:rFonts w:hint="eastAsia" w:ascii="宋体" w:hAnsi="宋体"/>
          <w:b/>
          <w:sz w:val="24"/>
          <w:szCs w:val="24"/>
        </w:rPr>
      </w:pPr>
    </w:p>
    <w:p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总分第一名为第一中标候选供应商，第二名为第二中标候选供应商，以此类推（综合评估分相同的，按投标报价由低到高顺序排列；综合评估分</w:t>
      </w:r>
      <w:r>
        <w:rPr>
          <w:rFonts w:hint="eastAsia" w:ascii="宋体" w:hAnsi="宋体"/>
          <w:sz w:val="24"/>
          <w:szCs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投标报价相同的，按技术指标优劣顺序排列）。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1BBD"/>
    <w:rsid w:val="53D3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2026-06-24T08:02:00Z</dcterms:created>
  <dc:creator>钧宏-</dc:creator>
  <cp:lastModifiedBy>钧宏-</cp:lastModifiedBy>
  <dcterms:modified xsi:type="dcterms:W3CDTF">2026-06-24T08:02:26Z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D06D83982B564EF3BAC38E22FC377026</vt:lpwstr>
  </property>
</Properties>
</file>