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5845A"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台山</w:t>
      </w:r>
      <w:r>
        <w:rPr>
          <w:rFonts w:hint="eastAsia" w:ascii="宋体" w:hAnsi="宋体"/>
          <w:b/>
          <w:sz w:val="36"/>
          <w:szCs w:val="36"/>
        </w:rPr>
        <w:t>市妇幼保健院院内</w:t>
      </w:r>
      <w:r>
        <w:rPr>
          <w:rFonts w:hint="eastAsia" w:ascii="宋体" w:hAnsi="宋体"/>
          <w:b/>
          <w:sz w:val="36"/>
          <w:szCs w:val="36"/>
          <w:lang w:eastAsia="zh-CN"/>
        </w:rPr>
        <w:t>采购</w:t>
      </w:r>
      <w:r>
        <w:rPr>
          <w:rFonts w:hint="eastAsia" w:ascii="宋体" w:hAnsi="宋体"/>
          <w:b/>
          <w:sz w:val="36"/>
          <w:szCs w:val="36"/>
        </w:rPr>
        <w:t>项目评分原则与评</w:t>
      </w:r>
      <w:r>
        <w:rPr>
          <w:rFonts w:hint="eastAsia" w:ascii="宋体" w:hAnsi="宋体"/>
          <w:b/>
          <w:sz w:val="36"/>
          <w:szCs w:val="36"/>
          <w:lang w:eastAsia="zh-CN"/>
        </w:rPr>
        <w:t>审</w:t>
      </w:r>
      <w:r>
        <w:rPr>
          <w:rFonts w:hint="eastAsia" w:ascii="宋体" w:hAnsi="宋体"/>
          <w:b/>
          <w:sz w:val="36"/>
          <w:szCs w:val="36"/>
        </w:rPr>
        <w:t>方法</w:t>
      </w:r>
    </w:p>
    <w:p w14:paraId="1018D63F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（招标项目：</w:t>
      </w:r>
      <w:r>
        <w:rPr>
          <w:rFonts w:hint="eastAsia" w:ascii="宋体" w:hAnsi="宋体"/>
          <w:b/>
          <w:sz w:val="24"/>
          <w:lang w:val="en-US" w:eastAsia="zh-CN"/>
        </w:rPr>
        <w:t>经皮黄疸仪</w:t>
      </w:r>
      <w:r>
        <w:rPr>
          <w:rFonts w:hint="eastAsia" w:ascii="宋体" w:hAnsi="宋体"/>
          <w:b/>
          <w:sz w:val="24"/>
        </w:rPr>
        <w:t>）</w:t>
      </w:r>
    </w:p>
    <w:p w14:paraId="3442BC3C"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评分原则：</w:t>
      </w:r>
      <w:r>
        <w:rPr>
          <w:rFonts w:hint="eastAsia" w:ascii="宋体" w:hAnsi="宋体"/>
          <w:sz w:val="24"/>
          <w:szCs w:val="24"/>
        </w:rPr>
        <w:t>按能够最大限度地满足招标文件中规定的各项综合评价标准的</w:t>
      </w:r>
      <w:r>
        <w:rPr>
          <w:rFonts w:hint="eastAsia" w:ascii="宋体" w:hAnsi="宋体"/>
          <w:sz w:val="24"/>
          <w:szCs w:val="24"/>
          <w:lang w:eastAsia="zh-CN"/>
        </w:rPr>
        <w:t>供应商</w:t>
      </w:r>
      <w:r>
        <w:rPr>
          <w:rFonts w:hint="eastAsia" w:ascii="宋体" w:hAnsi="宋体"/>
          <w:sz w:val="24"/>
          <w:szCs w:val="24"/>
        </w:rPr>
        <w:t>中标的原则评定。</w:t>
      </w:r>
    </w:p>
    <w:p w14:paraId="217F1819">
      <w:pPr>
        <w:spacing w:line="60" w:lineRule="atLeas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2.评标方法：</w:t>
      </w:r>
      <w:r>
        <w:rPr>
          <w:rFonts w:hint="eastAsia" w:ascii="宋体" w:hAnsi="宋体"/>
          <w:sz w:val="24"/>
          <w:szCs w:val="24"/>
        </w:rPr>
        <w:t>本次评标采用综合评分方法，评标以招标文件规定的条件为原则，最低报价不作为中标的唯一依据。</w:t>
      </w:r>
      <w:bookmarkStart w:id="0" w:name="_GoBack"/>
      <w:bookmarkEnd w:id="0"/>
    </w:p>
    <w:p w14:paraId="6A21FEDA">
      <w:pPr>
        <w:pStyle w:val="12"/>
        <w:spacing w:line="60" w:lineRule="atLeast"/>
        <w:ind w:left="0" w:leftChars="0" w:firstLine="0" w:firstLineChars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b/>
          <w:sz w:val="24"/>
          <w:szCs w:val="24"/>
        </w:rPr>
        <w:t>评分权重及评标因素如下：</w:t>
      </w:r>
    </w:p>
    <w:p w14:paraId="53AD2A89">
      <w:pPr>
        <w:pStyle w:val="12"/>
        <w:spacing w:line="60" w:lineRule="atLeast"/>
        <w:ind w:left="0" w:leftChars="0" w:firstLine="0" w:firstLineChars="0"/>
        <w:rPr>
          <w:rFonts w:hint="eastAsia" w:ascii="宋体" w:hAnsi="宋体"/>
          <w:b/>
          <w:sz w:val="24"/>
          <w:szCs w:val="24"/>
        </w:rPr>
      </w:pPr>
    </w:p>
    <w:tbl>
      <w:tblPr>
        <w:tblStyle w:val="8"/>
        <w:tblpPr w:leftFromText="180" w:rightFromText="180" w:vertAnchor="text" w:horzAnchor="page" w:tblpX="1321" w:tblpY="196"/>
        <w:tblOverlap w:val="never"/>
        <w:tblW w:w="8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0"/>
        <w:gridCol w:w="5779"/>
        <w:gridCol w:w="834"/>
      </w:tblGrid>
      <w:tr w14:paraId="0B29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29" w:type="dxa"/>
            <w:vAlign w:val="center"/>
          </w:tcPr>
          <w:p w14:paraId="69F6F623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评分项目/权重</w:t>
            </w:r>
          </w:p>
        </w:tc>
        <w:tc>
          <w:tcPr>
            <w:tcW w:w="1130" w:type="dxa"/>
            <w:vAlign w:val="center"/>
          </w:tcPr>
          <w:p w14:paraId="2857B56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评标因素</w:t>
            </w:r>
          </w:p>
        </w:tc>
        <w:tc>
          <w:tcPr>
            <w:tcW w:w="5779" w:type="dxa"/>
            <w:vAlign w:val="center"/>
          </w:tcPr>
          <w:p w14:paraId="53514866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评分标准</w:t>
            </w:r>
          </w:p>
        </w:tc>
        <w:tc>
          <w:tcPr>
            <w:tcW w:w="834" w:type="dxa"/>
            <w:vAlign w:val="center"/>
          </w:tcPr>
          <w:p w14:paraId="06D80F0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得分</w:t>
            </w:r>
          </w:p>
        </w:tc>
      </w:tr>
      <w:tr w14:paraId="582E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restart"/>
            <w:vAlign w:val="center"/>
          </w:tcPr>
          <w:p w14:paraId="3BFBA95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技术评分（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1130" w:type="dxa"/>
            <w:vAlign w:val="center"/>
          </w:tcPr>
          <w:p w14:paraId="3C4CA8A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带“▲”号条款的重要性技术参数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779" w:type="dxa"/>
            <w:vAlign w:val="center"/>
          </w:tcPr>
          <w:p w14:paraId="45AB6CB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根据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所投报设备的带“▲”重要技术参数对技术要求的响应情况进行评审。</w:t>
            </w:r>
          </w:p>
          <w:p w14:paraId="6BAA9BF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带“▲”重要技术参数完全响应招标文件要求的，得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分；</w:t>
            </w:r>
          </w:p>
          <w:p w14:paraId="439400DC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2.带“▲”重要技术参数不满足或未响应招标文件要求的项数为1项（含）以上2项（含）以下的，得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分；</w:t>
            </w:r>
          </w:p>
          <w:p w14:paraId="22C8AB76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3.带“▲”重要技术参数不满足或未响应招标文件要求的项数为3项（含）以上5项（含）以下的，得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分；</w:t>
            </w:r>
          </w:p>
          <w:p w14:paraId="663FB9D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4.带“▲”重要技术参数不满足或未响应招标文件要求的项数为5项（不含）以上的，得5分。</w:t>
            </w:r>
          </w:p>
          <w:p w14:paraId="16BEC5F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60" w:leftChars="0" w:hanging="160" w:hangingChars="10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带“▲”重要技术参数完全响应且优于招标文件要求，得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分。</w:t>
            </w:r>
          </w:p>
        </w:tc>
        <w:tc>
          <w:tcPr>
            <w:tcW w:w="834" w:type="dxa"/>
            <w:vAlign w:val="center"/>
          </w:tcPr>
          <w:p w14:paraId="53710096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1C7C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129" w:type="dxa"/>
            <w:vMerge w:val="continue"/>
            <w:vAlign w:val="center"/>
          </w:tcPr>
          <w:p w14:paraId="07F91B27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284D34D1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不带“▲”号条款的一般性技术参数（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5779" w:type="dxa"/>
            <w:vAlign w:val="center"/>
          </w:tcPr>
          <w:p w14:paraId="01E153A8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根据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所投报设备的一般（非带“▲”要求）技术参数对技术要求的响应情况进行评审。</w:t>
            </w:r>
          </w:p>
          <w:p w14:paraId="5D446853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1.一般（非带“▲”要求）技术参数完全响应招标文件要求的，得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分；</w:t>
            </w:r>
          </w:p>
          <w:p w14:paraId="2A2A7C0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 xml:space="preserve">2.一般（非带“▲”要求）技术参数不满足或未响应招标文件要求的项数为1项（含）以上5项（含）以下的，得5分； </w:t>
            </w:r>
          </w:p>
          <w:p w14:paraId="0B371E5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3.一般（非带“▲”要求）技术参数不满足或未响应招标文件要求的项数为5项（不含）以上的，得2分。</w:t>
            </w:r>
          </w:p>
          <w:p w14:paraId="179CE87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一般（非带“▲”要求）技术参数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完全响应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且优于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招标文件要求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10分。</w:t>
            </w:r>
          </w:p>
        </w:tc>
        <w:tc>
          <w:tcPr>
            <w:tcW w:w="834" w:type="dxa"/>
            <w:vAlign w:val="center"/>
          </w:tcPr>
          <w:p w14:paraId="65127A9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3F28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vAlign w:val="center"/>
          </w:tcPr>
          <w:p w14:paraId="1A8832A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4D40FC1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采购项目技术特点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3分）</w:t>
            </w:r>
          </w:p>
        </w:tc>
        <w:tc>
          <w:tcPr>
            <w:tcW w:w="5779" w:type="dxa"/>
            <w:vAlign w:val="center"/>
          </w:tcPr>
          <w:p w14:paraId="6B908BE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根据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所投报设备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是否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有专利性技术特点，或有行业先进技术特点。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eastAsia="zh-CN"/>
              </w:rPr>
              <w:t>有利于本单位使用情况得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3分。</w:t>
            </w:r>
          </w:p>
        </w:tc>
        <w:tc>
          <w:tcPr>
            <w:tcW w:w="834" w:type="dxa"/>
            <w:vAlign w:val="center"/>
          </w:tcPr>
          <w:p w14:paraId="43D88ED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61D2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129" w:type="dxa"/>
            <w:vMerge w:val="continue"/>
            <w:vAlign w:val="center"/>
          </w:tcPr>
          <w:p w14:paraId="6255E7E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1891699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保修期（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5779" w:type="dxa"/>
            <w:vAlign w:val="center"/>
          </w:tcPr>
          <w:p w14:paraId="06D6BD5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整机保修3年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整机保修每增加一年加1分，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eastAsia="zh-CN"/>
              </w:rPr>
              <w:t>最高得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3分。</w:t>
            </w:r>
          </w:p>
        </w:tc>
        <w:tc>
          <w:tcPr>
            <w:tcW w:w="834" w:type="dxa"/>
            <w:vAlign w:val="center"/>
          </w:tcPr>
          <w:p w14:paraId="67134635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77D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129" w:type="dxa"/>
            <w:vMerge w:val="continue"/>
            <w:vAlign w:val="center"/>
          </w:tcPr>
          <w:p w14:paraId="20F26E87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3F0E042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设备使用年限（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5779" w:type="dxa"/>
            <w:vAlign w:val="center"/>
          </w:tcPr>
          <w:p w14:paraId="2E75DBA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对比各投标产品使用年限，最高得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分。</w:t>
            </w:r>
          </w:p>
        </w:tc>
        <w:tc>
          <w:tcPr>
            <w:tcW w:w="834" w:type="dxa"/>
            <w:vAlign w:val="center"/>
          </w:tcPr>
          <w:p w14:paraId="5D096B5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2697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129" w:type="dxa"/>
            <w:vMerge w:val="restart"/>
            <w:vAlign w:val="center"/>
          </w:tcPr>
          <w:p w14:paraId="71C98705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商务评分（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1130" w:type="dxa"/>
            <w:vAlign w:val="center"/>
          </w:tcPr>
          <w:p w14:paraId="3438840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供货方案及安装调试、培训方案（5分）</w:t>
            </w:r>
          </w:p>
        </w:tc>
        <w:tc>
          <w:tcPr>
            <w:tcW w:w="5779" w:type="dxa"/>
            <w:vAlign w:val="center"/>
          </w:tcPr>
          <w:p w14:paraId="478F837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供货方案、安装调试方案有明确的计划和步骤，保障措施详细、合理可行，培训方案具体、合理、可行。得5分。</w:t>
            </w:r>
          </w:p>
          <w:p w14:paraId="331084E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供货方案、安装调试方案有一定的可行性，培训方案内容完整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、具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有一定可操作性。得3分。</w:t>
            </w:r>
          </w:p>
          <w:p w14:paraId="32F46CC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供货方案、安装调试方案、培训方案过于简单。得1分。</w:t>
            </w:r>
          </w:p>
        </w:tc>
        <w:tc>
          <w:tcPr>
            <w:tcW w:w="834" w:type="dxa"/>
            <w:vAlign w:val="center"/>
          </w:tcPr>
          <w:p w14:paraId="4AD057F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1186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129" w:type="dxa"/>
            <w:vMerge w:val="continue"/>
            <w:vAlign w:val="center"/>
          </w:tcPr>
          <w:p w14:paraId="7F1C787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3B49213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验收要求方案（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5分）</w:t>
            </w:r>
          </w:p>
        </w:tc>
        <w:tc>
          <w:tcPr>
            <w:tcW w:w="5779" w:type="dxa"/>
            <w:vAlign w:val="center"/>
          </w:tcPr>
          <w:p w14:paraId="0EE3928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1.验收方案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具体详细、合理可行。为医院提供全面保障。得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5分。</w:t>
            </w:r>
          </w:p>
          <w:p w14:paraId="7BD73D58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2.验收方案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有一定合理性、可行性，能为医院提供一定的保障。得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2分。</w:t>
            </w:r>
          </w:p>
        </w:tc>
        <w:tc>
          <w:tcPr>
            <w:tcW w:w="834" w:type="dxa"/>
            <w:vAlign w:val="center"/>
          </w:tcPr>
          <w:p w14:paraId="1A436AB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22D5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29" w:type="dxa"/>
            <w:vMerge w:val="continue"/>
            <w:vAlign w:val="center"/>
          </w:tcPr>
          <w:p w14:paraId="030CB925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1E7CDF7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售后服务方案（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5779" w:type="dxa"/>
            <w:vAlign w:val="center"/>
          </w:tcPr>
          <w:p w14:paraId="71B0170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售后服务方案具体详细、合理可行，为医院提供全面保障。得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分。</w:t>
            </w:r>
          </w:p>
          <w:p w14:paraId="33A67AB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售后服务方案有一定合理性、可行性，能为医院提供一定的保障。得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分。</w:t>
            </w:r>
          </w:p>
          <w:p w14:paraId="6E96631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售后服务方案的合理性、可行性、保障性一般。得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2分。</w:t>
            </w:r>
          </w:p>
          <w:p w14:paraId="723FF14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没有提供售后服务方案或售后服务方案过于简单，无法为医院提供保障。不得分</w:t>
            </w:r>
          </w:p>
        </w:tc>
        <w:tc>
          <w:tcPr>
            <w:tcW w:w="834" w:type="dxa"/>
            <w:vAlign w:val="center"/>
          </w:tcPr>
          <w:p w14:paraId="424BC8F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6ECF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29" w:type="dxa"/>
            <w:vAlign w:val="center"/>
          </w:tcPr>
          <w:p w14:paraId="460D9E2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价格评分（30分）</w:t>
            </w:r>
          </w:p>
        </w:tc>
        <w:tc>
          <w:tcPr>
            <w:tcW w:w="7743" w:type="dxa"/>
            <w:gridSpan w:val="3"/>
            <w:vAlign w:val="center"/>
          </w:tcPr>
          <w:p w14:paraId="24A832FC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价格得分=（最低投标价/被评分供应商投标价）×30</w:t>
            </w:r>
          </w:p>
          <w:p w14:paraId="7317D0B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（此项统一由设备股和财务股计算）</w:t>
            </w:r>
          </w:p>
        </w:tc>
      </w:tr>
    </w:tbl>
    <w:p w14:paraId="02B0785D">
      <w:pPr>
        <w:spacing w:line="6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4.</w:t>
      </w:r>
      <w:r>
        <w:rPr>
          <w:rFonts w:hint="eastAsia" w:ascii="宋体" w:hAnsi="宋体"/>
          <w:b/>
          <w:sz w:val="24"/>
          <w:szCs w:val="24"/>
        </w:rPr>
        <w:t>结果评定：</w:t>
      </w:r>
      <w:r>
        <w:rPr>
          <w:rFonts w:hint="eastAsia" w:ascii="宋体" w:hAnsi="宋体"/>
          <w:sz w:val="24"/>
          <w:szCs w:val="24"/>
        </w:rPr>
        <w:t>将综合评估分从高到低排出名次</w:t>
      </w:r>
      <w:r>
        <w:rPr>
          <w:rFonts w:hint="eastAsia" w:ascii="宋体" w:hAnsi="宋体"/>
          <w:sz w:val="24"/>
          <w:szCs w:val="24"/>
          <w:lang w:eastAsia="zh-CN"/>
        </w:rPr>
        <w:t>：</w:t>
      </w:r>
    </w:p>
    <w:p w14:paraId="67DE1C4F">
      <w:pPr>
        <w:spacing w:line="60" w:lineRule="atLeas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>总分第一名为第一中标候选供应商，第二名为第二中标候选供应商，以此类推（综合评估分相同的，按投标报价由低到高顺序排列；综合评估分且投标报价相同的，按技术指标优劣顺序排列）。</w:t>
      </w:r>
    </w:p>
    <w:p w14:paraId="535210AA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</w:rPr>
      </w:pPr>
    </w:p>
    <w:p w14:paraId="49EA9BD2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评标专家签名确认：                 </w:t>
      </w:r>
    </w:p>
    <w:p w14:paraId="4B646AE3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26DF6F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D6DE9CA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8DDD1A7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9391FED">
      <w:pPr>
        <w:spacing w:line="480" w:lineRule="exact"/>
        <w:ind w:firstLine="5200" w:firstLineChars="1850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日期：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sectPr>
      <w:pgSz w:w="11906" w:h="16838"/>
      <w:pgMar w:top="567" w:right="1800" w:bottom="709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D9F9E"/>
    <w:multiLevelType w:val="singleLevel"/>
    <w:tmpl w:val="7BBD9F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C9"/>
    <w:rsid w:val="000F3C88"/>
    <w:rsid w:val="00137CD2"/>
    <w:rsid w:val="001535F6"/>
    <w:rsid w:val="00154B1A"/>
    <w:rsid w:val="00162000"/>
    <w:rsid w:val="00193110"/>
    <w:rsid w:val="00193499"/>
    <w:rsid w:val="001F437C"/>
    <w:rsid w:val="00257A10"/>
    <w:rsid w:val="002A7476"/>
    <w:rsid w:val="002C1E0C"/>
    <w:rsid w:val="002D7599"/>
    <w:rsid w:val="003154E9"/>
    <w:rsid w:val="0036474D"/>
    <w:rsid w:val="00366BAB"/>
    <w:rsid w:val="0038016C"/>
    <w:rsid w:val="003811EB"/>
    <w:rsid w:val="00387129"/>
    <w:rsid w:val="00395098"/>
    <w:rsid w:val="003A12F7"/>
    <w:rsid w:val="003E1E45"/>
    <w:rsid w:val="003E2501"/>
    <w:rsid w:val="003F1F11"/>
    <w:rsid w:val="003F7928"/>
    <w:rsid w:val="0044070A"/>
    <w:rsid w:val="00490549"/>
    <w:rsid w:val="0050581E"/>
    <w:rsid w:val="005243A5"/>
    <w:rsid w:val="00526DC0"/>
    <w:rsid w:val="00530482"/>
    <w:rsid w:val="00556D62"/>
    <w:rsid w:val="0057136E"/>
    <w:rsid w:val="0059422A"/>
    <w:rsid w:val="005B278E"/>
    <w:rsid w:val="005B749B"/>
    <w:rsid w:val="005D0904"/>
    <w:rsid w:val="0063669D"/>
    <w:rsid w:val="00645D6F"/>
    <w:rsid w:val="0068676D"/>
    <w:rsid w:val="00694720"/>
    <w:rsid w:val="006953CF"/>
    <w:rsid w:val="006A11C9"/>
    <w:rsid w:val="006A1BCF"/>
    <w:rsid w:val="006A7990"/>
    <w:rsid w:val="006F17FA"/>
    <w:rsid w:val="00716E25"/>
    <w:rsid w:val="00751843"/>
    <w:rsid w:val="00804A49"/>
    <w:rsid w:val="00804B1B"/>
    <w:rsid w:val="0082650E"/>
    <w:rsid w:val="00854248"/>
    <w:rsid w:val="008A4045"/>
    <w:rsid w:val="008A553A"/>
    <w:rsid w:val="008D64C2"/>
    <w:rsid w:val="00903484"/>
    <w:rsid w:val="009046F1"/>
    <w:rsid w:val="00914218"/>
    <w:rsid w:val="00915ACA"/>
    <w:rsid w:val="009B5B7B"/>
    <w:rsid w:val="009B7F5A"/>
    <w:rsid w:val="009D3B54"/>
    <w:rsid w:val="00A0375A"/>
    <w:rsid w:val="00A35C11"/>
    <w:rsid w:val="00A40F93"/>
    <w:rsid w:val="00A423D3"/>
    <w:rsid w:val="00A55122"/>
    <w:rsid w:val="00A60817"/>
    <w:rsid w:val="00AA22E2"/>
    <w:rsid w:val="00AC36FB"/>
    <w:rsid w:val="00B32D8A"/>
    <w:rsid w:val="00B66EE8"/>
    <w:rsid w:val="00B74781"/>
    <w:rsid w:val="00BA2983"/>
    <w:rsid w:val="00BD4CE1"/>
    <w:rsid w:val="00BD7455"/>
    <w:rsid w:val="00C0765C"/>
    <w:rsid w:val="00C26402"/>
    <w:rsid w:val="00C560BC"/>
    <w:rsid w:val="00C61A02"/>
    <w:rsid w:val="00C72981"/>
    <w:rsid w:val="00C90F49"/>
    <w:rsid w:val="00CD567B"/>
    <w:rsid w:val="00CF50F7"/>
    <w:rsid w:val="00D34FF3"/>
    <w:rsid w:val="00D554FE"/>
    <w:rsid w:val="00D84386"/>
    <w:rsid w:val="00D87CE4"/>
    <w:rsid w:val="00DA159D"/>
    <w:rsid w:val="00DC6AC7"/>
    <w:rsid w:val="00DD0592"/>
    <w:rsid w:val="00DD3D20"/>
    <w:rsid w:val="00DE2169"/>
    <w:rsid w:val="00DF5E0C"/>
    <w:rsid w:val="00E043F5"/>
    <w:rsid w:val="00E4113C"/>
    <w:rsid w:val="00E41F94"/>
    <w:rsid w:val="00E7031A"/>
    <w:rsid w:val="00EA0689"/>
    <w:rsid w:val="00EA2073"/>
    <w:rsid w:val="00EC2EE7"/>
    <w:rsid w:val="00F25709"/>
    <w:rsid w:val="00F50751"/>
    <w:rsid w:val="00F52E0F"/>
    <w:rsid w:val="00F92EB2"/>
    <w:rsid w:val="00FB0DE4"/>
    <w:rsid w:val="00FD5302"/>
    <w:rsid w:val="04A476D5"/>
    <w:rsid w:val="06A11BD4"/>
    <w:rsid w:val="0BB66D16"/>
    <w:rsid w:val="0F5457FA"/>
    <w:rsid w:val="136646D4"/>
    <w:rsid w:val="16021D37"/>
    <w:rsid w:val="1AFF7456"/>
    <w:rsid w:val="1FD36E7B"/>
    <w:rsid w:val="2E7752CA"/>
    <w:rsid w:val="36405C01"/>
    <w:rsid w:val="41672CA1"/>
    <w:rsid w:val="43661FA0"/>
    <w:rsid w:val="567567DF"/>
    <w:rsid w:val="57503424"/>
    <w:rsid w:val="58085B76"/>
    <w:rsid w:val="5E3B7AF9"/>
    <w:rsid w:val="5FE15685"/>
    <w:rsid w:val="60BB0910"/>
    <w:rsid w:val="6395523F"/>
    <w:rsid w:val="65E77E1D"/>
    <w:rsid w:val="6DC07393"/>
    <w:rsid w:val="75C7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Plain Text"/>
    <w:basedOn w:val="1"/>
    <w:link w:val="14"/>
    <w:unhideWhenUsed/>
    <w:qFormat/>
    <w:uiPriority w:val="0"/>
    <w:rPr>
      <w:rFonts w:ascii="宋体" w:hAnsi="Courier New" w:cstheme="minorBidi"/>
      <w:szCs w:val="2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纯文本 Char"/>
    <w:basedOn w:val="9"/>
    <w:qFormat/>
    <w:locked/>
    <w:uiPriority w:val="0"/>
    <w:rPr>
      <w:rFonts w:ascii="宋体" w:hAnsi="Courier New" w:eastAsia="宋体"/>
    </w:rPr>
  </w:style>
  <w:style w:type="character" w:customStyle="1" w:styleId="14">
    <w:name w:val="纯文本 Char1"/>
    <w:basedOn w:val="9"/>
    <w:link w:val="3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218</Words>
  <Characters>1245</Characters>
  <Lines>10</Lines>
  <Paragraphs>2</Paragraphs>
  <TotalTime>57</TotalTime>
  <ScaleCrop>false</ScaleCrop>
  <LinksUpToDate>false</LinksUpToDate>
  <CharactersWithSpaces>1461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2024-08-02T08:47:00Z</dcterms:created>
  <dc:creator>倪良军</dc:creator>
  <cp:lastModifiedBy>郭伟国</cp:lastModifiedBy>
  <cp:lastPrinted>2020-11-10T09:12:00Z</cp:lastPrinted>
  <dcterms:modified xsi:type="dcterms:W3CDTF">2026-04-15T01:36:15Z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55A046B7F1D74E32B50E79EAD853C7CB_13</vt:lpwstr>
  </property>
</Properties>
</file>