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eastAsia="宋体"/>
          <w:b/>
          <w:bCs/>
          <w:sz w:val="32"/>
          <w:szCs w:val="32"/>
          <w:lang w:val="en-US" w:eastAsia="zh-CN"/>
        </w:rPr>
        <w:t>便携式肺功能仪技术</w:t>
      </w:r>
      <w:r>
        <w:rPr>
          <w:b/>
          <w:bCs/>
          <w:sz w:val="32"/>
          <w:szCs w:val="32"/>
        </w:rPr>
        <w:t>参数</w:t>
      </w:r>
    </w:p>
    <w:p>
      <w:pPr>
        <w:pStyle w:val="5"/>
        <w:pBdr>
          <w:top w:val="none" w:color="auto" w:sz="0" w:space="0"/>
          <w:left w:val="none" w:color="auto" w:sz="0" w:space="0"/>
          <w:bottom w:val="none" w:color="auto" w:sz="0" w:space="0"/>
          <w:right w:val="none" w:color="auto" w:sz="0" w:space="0"/>
        </w:pBdr>
        <w:shd w:val="clear" w:color="auto" w:fill="auto"/>
        <w:rPr>
          <w:vertAlign w:val="baseline"/>
        </w:rPr>
      </w:pPr>
      <w:r>
        <w:rPr>
          <w:rFonts w:eastAsia="宋体"/>
        </w:rPr>
        <w:t>一、▲重要参数</w:t>
      </w:r>
      <w:r>
        <w:br w:type="textWrapping"/>
      </w:r>
      <w:r>
        <w:rPr>
          <w:rFonts w:eastAsia="宋体"/>
        </w:rPr>
        <w:t>▲ 1.产品具备防止交叉感染防控的恰当措施，所使用的呼吸过滤耗材细菌过滤率高于99.9%，并提供相应第三方检测报告；可采取传感检测回路整体抛弃式使用方式，有效克服由于公用呼吸回路引起的潜在交叉感染风险。</w:t>
      </w:r>
      <w:r>
        <w:br w:type="textWrapping"/>
      </w:r>
      <w:r>
        <w:rPr>
          <w:rFonts w:eastAsia="宋体"/>
        </w:rPr>
        <w:t>▲2. 产品检测原理：采用压差检测技术原理。</w:t>
      </w:r>
      <w:r>
        <w:br w:type="textWrapping"/>
      </w:r>
      <w:r>
        <w:rPr>
          <w:rFonts w:eastAsia="宋体"/>
        </w:rPr>
        <w:t>▲3. 检测显示参数包含：FVC（用力肺活量）：FVC、FEV1、FEV3、FEV6、FEV1/FVC、FEV3/FVC、FEV1/VC Max、PEF、FEF25、FEF50、FEF75、MMEF、VEXP、FET等呼气指标，PIF等吸气指标；VC(肺活量)：VC、VT、IRV、ERV、IC等；MVV（分钟最大通气量）：MVV、VT、RR等；相应核心指标需经过第三方检测机构检测，符合肺功能测定仪技术标准；提供检测报告；产品注册标准：符合国家肺功能仪有关技术规范要求和技术标准。</w:t>
      </w:r>
      <w:r>
        <w:br w:type="textWrapping"/>
      </w:r>
      <w:r>
        <w:rPr>
          <w:rFonts w:eastAsia="宋体"/>
        </w:rPr>
        <w:t>▲4.仪器支持容量定标、三流速线性验证；</w:t>
      </w:r>
      <w:r>
        <w:br w:type="textWrapping"/>
      </w:r>
      <w:r>
        <w:rPr>
          <w:rFonts w:eastAsia="宋体"/>
        </w:rPr>
        <w:t>▲5.厂家需具备肺功能测定仪、3L定标筒所必须的检验校准及标定设备，后续可根据临床需求提供必要的质控校准检测服务；</w:t>
      </w:r>
      <w:r>
        <w:br w:type="textWrapping"/>
      </w:r>
      <w:r>
        <w:rPr>
          <w:rFonts w:eastAsia="宋体"/>
        </w:rPr>
        <w:t>▲6.质控管理功能：设备质控定标报告，检查报告质量管理；查看某个中心的质控报告，可在线批注、留言；</w:t>
      </w:r>
      <w:r>
        <w:br w:type="textWrapping"/>
      </w:r>
      <w:r>
        <w:rPr>
          <w:rFonts w:eastAsia="宋体"/>
        </w:rPr>
        <w:t>▲7.具备可定制扩展功能。</w:t>
      </w:r>
      <w:bookmarkStart w:id="0" w:name="_GoBack"/>
      <w:bookmarkEnd w:id="0"/>
      <w:r>
        <w:br w:type="textWrapping"/>
      </w:r>
      <w:r>
        <w:rPr>
          <w:rFonts w:eastAsia="宋体"/>
        </w:rPr>
        <w:t>二、一般参数</w:t>
      </w:r>
      <w:r>
        <w:br w:type="textWrapping"/>
      </w:r>
      <w:r>
        <w:rPr>
          <w:rFonts w:eastAsia="宋体"/>
        </w:rPr>
        <w:t>1.具有支气管舒张试验功能，可出具舒张试验报告；</w:t>
      </w:r>
      <w:r>
        <w:br w:type="textWrapping"/>
      </w:r>
      <w:r>
        <w:rPr>
          <w:rFonts w:eastAsia="宋体"/>
        </w:rPr>
        <w:t>2.可检测呼气、吸气指标，实时显示动态曲线（流量容积曲线、时间容积曲线）；具备中国人预计值公式；</w:t>
      </w:r>
      <w:r>
        <w:br w:type="textWrapping"/>
      </w:r>
      <w:r>
        <w:rPr>
          <w:rFonts w:eastAsia="宋体"/>
        </w:rPr>
        <w:t>3.便携式设计，方便床旁使用，适用于在体检或现场流调等工作开展；</w:t>
      </w:r>
      <w:r>
        <w:br w:type="textWrapping"/>
      </w:r>
      <w:r>
        <w:rPr>
          <w:rFonts w:eastAsia="宋体"/>
        </w:rPr>
        <w:t>4.同时支持A4报告打印或仪器自带打印功能；</w:t>
      </w:r>
      <w:r>
        <w:br w:type="textWrapping"/>
      </w:r>
      <w:r>
        <w:rPr>
          <w:rFonts w:eastAsia="宋体"/>
        </w:rPr>
        <w:t>5.仪器自带智能语音提示功能，方便患者掌握检查要领；</w:t>
      </w:r>
      <w:r>
        <w:br w:type="textWrapping"/>
      </w:r>
      <w:r>
        <w:rPr>
          <w:rFonts w:eastAsia="宋体"/>
        </w:rPr>
        <w:t>6.配套3L定标筒的定标精度为±0.4%，相应精度性能需经过第三方机构检测；</w:t>
      </w:r>
      <w:r>
        <w:br w:type="textWrapping"/>
      </w:r>
      <w:r>
        <w:rPr>
          <w:rFonts w:eastAsia="宋体"/>
        </w:rPr>
        <w:t>7.具备自动测量环境参数（温度、湿度、大气压）并进行BTPS自动修正功能；</w:t>
      </w:r>
      <w:r>
        <w:br w:type="textWrapping"/>
      </w:r>
      <w:r>
        <w:rPr>
          <w:rFonts w:eastAsia="宋体"/>
        </w:rPr>
        <w:t>8.系统软件可根据检测结果进行自动质控评级。</w:t>
      </w:r>
      <w:r>
        <w:br w:type="textWrapping"/>
      </w:r>
      <w:r>
        <w:rPr>
          <w:rFonts w:eastAsia="宋体"/>
        </w:rPr>
        <w:t>9.支持无线数据互联功能；</w:t>
      </w:r>
      <w:r>
        <w:br w:type="textWrapping"/>
      </w:r>
      <w:r>
        <w:rPr>
          <w:rFonts w:eastAsia="宋体"/>
        </w:rPr>
        <w:t>10.检测设备支持双模工作模式，支持单台仪器离线工作及与PC端联机。</w:t>
      </w:r>
      <w:r>
        <w:br w:type="textWrapping"/>
      </w:r>
      <w:r>
        <w:rPr>
          <w:rFonts w:eastAsia="宋体"/>
        </w:rPr>
        <w:t>11.检测模块：肺通气功能检查（FVC、VC、MVV）、支气管舒张试验等；实时显示流量容积（F-V）曲线、时间容积（V-T）曲线等；</w:t>
      </w:r>
      <w:r>
        <w:br w:type="textWrapping"/>
      </w:r>
      <w:r>
        <w:rPr>
          <w:rFonts w:eastAsia="宋体"/>
        </w:rPr>
        <w:t>12.质控管理模块：容量定标、线性验证，并形成质控报告；自动计算质控评级；依据ATS/ERS智能推荐可接受度高的测量曲线；</w:t>
      </w:r>
      <w:r>
        <w:br w:type="textWrapping"/>
      </w:r>
      <w:r>
        <w:rPr>
          <w:rFonts w:eastAsia="宋体"/>
        </w:rPr>
        <w:t>13.肺功能检查对象信息收集及管理模块：可录入检查对象基本信息、症状、危险因素、呼吸系统疾病史、身体测量结果、禁忌症、及定期的慢阻肺高危人群及患者的随访管理等信息；</w:t>
      </w:r>
      <w:r>
        <w:br w:type="textWrapping"/>
      </w:r>
      <w:r>
        <w:rPr>
          <w:rFonts w:eastAsia="宋体"/>
        </w:rPr>
        <w:t>14.随访问卷模块：CAT、mMRC、COPD-SQ等问卷配置；</w:t>
      </w:r>
      <w:r>
        <w:br w:type="textWrapping"/>
      </w:r>
      <w:r>
        <w:rPr>
          <w:rFonts w:eastAsia="宋体"/>
        </w:rPr>
        <w:t>15.报告生成及打印模块：支持多种报告模板，包括肺量计检查、支气管舒张试验；</w:t>
      </w:r>
      <w:r>
        <w:br w:type="textWrapping"/>
      </w:r>
      <w:r>
        <w:rPr>
          <w:rFonts w:eastAsia="宋体"/>
        </w:rPr>
        <w:t>16.工作台账模块：检测结果统计及报告导出；</w:t>
      </w:r>
      <w:r>
        <w:br w:type="textWrapping"/>
      </w:r>
      <w:r>
        <w:rPr>
          <w:rFonts w:eastAsia="宋体"/>
        </w:rPr>
        <w:t>17.数据通讯模块：支持对接医院HIS系统；支持多中心及分级诊疗工作模式等功能；</w:t>
      </w:r>
      <w:r>
        <w:br w:type="textWrapping"/>
      </w:r>
      <w:r>
        <w:rPr>
          <w:rFonts w:eastAsia="宋体"/>
        </w:rPr>
        <w:t>18.账号管理及设置模块：账号及密码管理，账户基本信息配置，版本升级、设备管理、预计值选择、数据同步等。</w:t>
      </w:r>
      <w:r>
        <w:br w:type="textWrapping"/>
      </w:r>
      <w:r>
        <w:rPr>
          <w:rFonts w:eastAsia="宋体"/>
        </w:rPr>
        <w:t>19.项目管理功能：包括基础信息，汇总信息，随访内容设置，项目参与单位等；</w:t>
      </w:r>
      <w:r>
        <w:br w:type="textWrapping"/>
      </w:r>
      <w:r>
        <w:rPr>
          <w:rFonts w:eastAsia="宋体"/>
        </w:rPr>
        <w:t>20.肺功能检查对象信息管理功能：包括调查对象姓名、性别、出生年月日、民族、身份证号、婚姻状况、职业、户籍地址、实际居住地址、联系电话、门诊号/住院号、症状、危险因素、呼吸病史、身体测量、禁忌症、慢阻肺高危人群及患者的随访管理等；</w:t>
      </w:r>
      <w:r>
        <w:br w:type="textWrapping"/>
      </w:r>
      <w:r>
        <w:rPr>
          <w:rFonts w:eastAsia="宋体"/>
        </w:rPr>
        <w:t>21.肺功能报告管理模块：肺功能报告汇总；肺功能质控等级；在线查看肺功能报告详情；在线解读批注；FVC检查质量、FEV1检查质量、肺通气功能障碍类型、肺通气功能障碍程度、舒张试验阴性/阳性、GOLD分级等分析图表展示；实时查看及动态展示本中心、本地区、本省肺功能检查情况；</w:t>
      </w:r>
      <w:r>
        <w:br w:type="textWrapping"/>
      </w:r>
      <w:r>
        <w:rPr>
          <w:rFonts w:eastAsia="宋体"/>
        </w:rPr>
        <w:t>22.数据导出功能：支持自定义时间范围数据导出；支持全部数据导出，包括检查对象基础信息、肺功能报告数据、随访数据等；</w:t>
      </w:r>
      <w:r>
        <w:br w:type="textWrapping"/>
      </w:r>
      <w:r>
        <w:rPr>
          <w:rFonts w:eastAsia="宋体"/>
        </w:rPr>
        <w:t>23.数据共享：检查对象的基本信息和肺功能检查、诊断等相关数据和信息可传输共享至居民电子健康档案和区域人口健康信息平台等；</w:t>
      </w:r>
      <w:r>
        <w:br w:type="textWrapping"/>
      </w:r>
      <w:r>
        <w:rPr>
          <w:rFonts w:eastAsia="宋体"/>
        </w:rPr>
        <w:t>24.安全性要求：保护调查对象隐私，保证信息平台和所收集信息的安全性；</w:t>
      </w:r>
      <w:r>
        <w:br w:type="textWrapping"/>
      </w:r>
      <w:r>
        <w:rPr>
          <w:rFonts w:eastAsia="宋体"/>
        </w:rPr>
        <w:t>25.配置清单（至少包含以下内容，任一配置内容负偏离将被认定为整项参数负偏离）</w:t>
      </w:r>
      <w:r>
        <w:rPr>
          <w:rFonts w:hint="eastAsia"/>
          <w:lang w:eastAsia="zh-CN"/>
        </w:rPr>
        <w:t>：</w:t>
      </w:r>
      <w:r>
        <w:rPr>
          <w:rFonts w:hint="eastAsia"/>
          <w:lang w:val="en-US" w:eastAsia="zh-CN"/>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3855"/>
        <w:gridCol w:w="1732"/>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pPr>
              <w:pStyle w:val="5"/>
              <w:widowControl w:val="0"/>
              <w:jc w:val="center"/>
              <w:rPr>
                <w:b/>
                <w:bCs/>
                <w:vertAlign w:val="baseline"/>
              </w:rPr>
            </w:pPr>
            <w:r>
              <w:rPr>
                <w:rFonts w:eastAsia="宋体"/>
                <w:b/>
                <w:bCs/>
              </w:rPr>
              <w:t>序号</w:t>
            </w:r>
          </w:p>
        </w:tc>
        <w:tc>
          <w:tcPr>
            <w:tcW w:w="3855" w:type="dxa"/>
            <w:vAlign w:val="center"/>
          </w:tcPr>
          <w:p>
            <w:pPr>
              <w:pStyle w:val="5"/>
              <w:widowControl w:val="0"/>
              <w:jc w:val="center"/>
              <w:rPr>
                <w:b/>
                <w:bCs/>
                <w:vertAlign w:val="baseline"/>
              </w:rPr>
            </w:pPr>
            <w:r>
              <w:rPr>
                <w:rFonts w:eastAsia="宋体"/>
                <w:b/>
                <w:bCs/>
              </w:rPr>
              <w:t>产品说明</w:t>
            </w:r>
          </w:p>
        </w:tc>
        <w:tc>
          <w:tcPr>
            <w:tcW w:w="1732" w:type="dxa"/>
            <w:vAlign w:val="center"/>
          </w:tcPr>
          <w:p>
            <w:pPr>
              <w:pStyle w:val="5"/>
              <w:widowControl w:val="0"/>
              <w:jc w:val="center"/>
              <w:rPr>
                <w:rFonts w:hint="eastAsia" w:eastAsia="宋体"/>
                <w:b/>
                <w:bCs/>
                <w:vertAlign w:val="baseline"/>
                <w:lang w:val="en-US" w:eastAsia="zh-CN"/>
              </w:rPr>
            </w:pPr>
            <w:r>
              <w:rPr>
                <w:rFonts w:hint="eastAsia"/>
                <w:b/>
                <w:bCs/>
                <w:vertAlign w:val="baseline"/>
                <w:lang w:val="en-US" w:eastAsia="zh-CN"/>
              </w:rPr>
              <w:t>数量</w:t>
            </w:r>
          </w:p>
        </w:tc>
        <w:tc>
          <w:tcPr>
            <w:tcW w:w="2131" w:type="dxa"/>
            <w:vAlign w:val="center"/>
          </w:tcPr>
          <w:p>
            <w:pPr>
              <w:pStyle w:val="5"/>
              <w:widowControl w:val="0"/>
              <w:jc w:val="center"/>
              <w:rPr>
                <w:rFonts w:hint="eastAsia" w:eastAsia="宋体"/>
                <w:b/>
                <w:bCs/>
                <w:vertAlign w:val="baseline"/>
                <w:lang w:val="en-US" w:eastAsia="zh-CN"/>
              </w:rPr>
            </w:pPr>
            <w:r>
              <w:rPr>
                <w:rFonts w:hint="eastAsia"/>
                <w:b/>
                <w:bCs/>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pPr>
              <w:pStyle w:val="5"/>
              <w:widowControl w:val="0"/>
              <w:jc w:val="center"/>
              <w:rPr>
                <w:rFonts w:hint="eastAsia"/>
                <w:b w:val="0"/>
                <w:bCs w:val="0"/>
                <w:vertAlign w:val="baseline"/>
                <w:lang w:val="en-US" w:eastAsia="zh-CN"/>
              </w:rPr>
            </w:pPr>
            <w:r>
              <w:rPr>
                <w:rFonts w:hint="eastAsia"/>
                <w:b w:val="0"/>
                <w:bCs w:val="0"/>
                <w:vertAlign w:val="baseline"/>
                <w:lang w:val="en-US" w:eastAsia="zh-CN"/>
              </w:rPr>
              <w:t>1</w:t>
            </w:r>
          </w:p>
        </w:tc>
        <w:tc>
          <w:tcPr>
            <w:tcW w:w="3855" w:type="dxa"/>
            <w:vAlign w:val="center"/>
          </w:tcPr>
          <w:p>
            <w:pPr>
              <w:pStyle w:val="5"/>
              <w:widowControl w:val="0"/>
              <w:jc w:val="center"/>
              <w:rPr>
                <w:b w:val="0"/>
                <w:bCs w:val="0"/>
                <w:vertAlign w:val="baseline"/>
              </w:rPr>
            </w:pPr>
            <w:r>
              <w:rPr>
                <w:rFonts w:eastAsia="宋体"/>
                <w:b w:val="0"/>
                <w:bCs w:val="0"/>
              </w:rPr>
              <w:t>主机（含彩色显示屏）</w:t>
            </w:r>
          </w:p>
        </w:tc>
        <w:tc>
          <w:tcPr>
            <w:tcW w:w="1732" w:type="dxa"/>
            <w:vAlign w:val="center"/>
          </w:tcPr>
          <w:p>
            <w:pPr>
              <w:pStyle w:val="5"/>
              <w:widowControl w:val="0"/>
              <w:jc w:val="center"/>
              <w:rPr>
                <w:rFonts w:hint="eastAsia" w:eastAsia="宋体"/>
                <w:b w:val="0"/>
                <w:bCs w:val="0"/>
                <w:vertAlign w:val="baseline"/>
                <w:lang w:val="en-US" w:eastAsia="zh-CN"/>
              </w:rPr>
            </w:pPr>
            <w:r>
              <w:rPr>
                <w:rFonts w:hint="eastAsia"/>
                <w:b w:val="0"/>
                <w:bCs w:val="0"/>
                <w:vertAlign w:val="baseline"/>
                <w:lang w:val="en-US" w:eastAsia="zh-CN"/>
              </w:rPr>
              <w:t>1</w:t>
            </w:r>
          </w:p>
        </w:tc>
        <w:tc>
          <w:tcPr>
            <w:tcW w:w="2131" w:type="dxa"/>
            <w:vAlign w:val="center"/>
          </w:tcPr>
          <w:p>
            <w:pPr>
              <w:pStyle w:val="5"/>
              <w:widowControl w:val="0"/>
              <w:jc w:val="center"/>
              <w:rPr>
                <w:b w:val="0"/>
                <w:bCs w:val="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pPr>
              <w:pStyle w:val="5"/>
              <w:widowControl w:val="0"/>
              <w:jc w:val="center"/>
              <w:rPr>
                <w:rFonts w:hint="eastAsia" w:eastAsia="宋体"/>
                <w:b w:val="0"/>
                <w:bCs w:val="0"/>
                <w:vertAlign w:val="baseline"/>
                <w:lang w:val="en-US" w:eastAsia="zh-CN"/>
              </w:rPr>
            </w:pPr>
            <w:r>
              <w:rPr>
                <w:rFonts w:hint="eastAsia"/>
                <w:b w:val="0"/>
                <w:bCs w:val="0"/>
                <w:vertAlign w:val="baseline"/>
                <w:lang w:val="en-US" w:eastAsia="zh-CN"/>
              </w:rPr>
              <w:t>2</w:t>
            </w:r>
          </w:p>
        </w:tc>
        <w:tc>
          <w:tcPr>
            <w:tcW w:w="3855" w:type="dxa"/>
            <w:vAlign w:val="center"/>
          </w:tcPr>
          <w:p>
            <w:pPr>
              <w:pStyle w:val="5"/>
              <w:widowControl w:val="0"/>
              <w:jc w:val="center"/>
              <w:rPr>
                <w:b w:val="0"/>
                <w:bCs w:val="0"/>
                <w:vertAlign w:val="baseline"/>
              </w:rPr>
            </w:pPr>
            <w:r>
              <w:rPr>
                <w:rFonts w:eastAsia="宋体"/>
                <w:b w:val="0"/>
                <w:bCs w:val="0"/>
              </w:rPr>
              <w:t>传感器手柄</w:t>
            </w:r>
          </w:p>
        </w:tc>
        <w:tc>
          <w:tcPr>
            <w:tcW w:w="1732" w:type="dxa"/>
            <w:vAlign w:val="center"/>
          </w:tcPr>
          <w:p>
            <w:pPr>
              <w:pStyle w:val="5"/>
              <w:widowControl w:val="0"/>
              <w:jc w:val="center"/>
              <w:rPr>
                <w:rFonts w:hint="eastAsia" w:eastAsia="宋体"/>
                <w:b w:val="0"/>
                <w:bCs w:val="0"/>
                <w:vertAlign w:val="baseline"/>
                <w:lang w:val="en-US" w:eastAsia="zh-CN"/>
              </w:rPr>
            </w:pPr>
            <w:r>
              <w:rPr>
                <w:rFonts w:hint="eastAsia"/>
                <w:b w:val="0"/>
                <w:bCs w:val="0"/>
                <w:vertAlign w:val="baseline"/>
                <w:lang w:val="en-US" w:eastAsia="zh-CN"/>
              </w:rPr>
              <w:t>1</w:t>
            </w:r>
          </w:p>
        </w:tc>
        <w:tc>
          <w:tcPr>
            <w:tcW w:w="2131" w:type="dxa"/>
            <w:vAlign w:val="center"/>
          </w:tcPr>
          <w:p>
            <w:pPr>
              <w:pStyle w:val="5"/>
              <w:widowControl w:val="0"/>
              <w:jc w:val="center"/>
              <w:rPr>
                <w:b w:val="0"/>
                <w:bCs w:val="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pPr>
              <w:pStyle w:val="5"/>
              <w:widowControl w:val="0"/>
              <w:jc w:val="center"/>
              <w:rPr>
                <w:rFonts w:hint="eastAsia" w:eastAsia="宋体"/>
                <w:b w:val="0"/>
                <w:bCs w:val="0"/>
                <w:vertAlign w:val="baseline"/>
                <w:lang w:val="en-US" w:eastAsia="zh-CN"/>
              </w:rPr>
            </w:pPr>
            <w:r>
              <w:rPr>
                <w:rFonts w:hint="eastAsia"/>
                <w:b w:val="0"/>
                <w:bCs w:val="0"/>
                <w:vertAlign w:val="baseline"/>
                <w:lang w:val="en-US" w:eastAsia="zh-CN"/>
              </w:rPr>
              <w:t>3</w:t>
            </w:r>
          </w:p>
        </w:tc>
        <w:tc>
          <w:tcPr>
            <w:tcW w:w="3855" w:type="dxa"/>
            <w:vAlign w:val="center"/>
          </w:tcPr>
          <w:p>
            <w:pPr>
              <w:pStyle w:val="5"/>
              <w:widowControl w:val="0"/>
              <w:jc w:val="center"/>
              <w:rPr>
                <w:b w:val="0"/>
                <w:bCs w:val="0"/>
                <w:vertAlign w:val="baseline"/>
              </w:rPr>
            </w:pPr>
            <w:r>
              <w:rPr>
                <w:rFonts w:eastAsia="宋体"/>
                <w:b w:val="0"/>
                <w:bCs w:val="0"/>
              </w:rPr>
              <w:t>肺功能检测通气咬嘴套件</w:t>
            </w:r>
          </w:p>
        </w:tc>
        <w:tc>
          <w:tcPr>
            <w:tcW w:w="1732" w:type="dxa"/>
            <w:vAlign w:val="center"/>
          </w:tcPr>
          <w:p>
            <w:pPr>
              <w:pStyle w:val="5"/>
              <w:widowControl w:val="0"/>
              <w:jc w:val="center"/>
              <w:rPr>
                <w:rFonts w:hint="eastAsia" w:eastAsia="宋体"/>
                <w:b w:val="0"/>
                <w:bCs w:val="0"/>
                <w:vertAlign w:val="baseline"/>
                <w:lang w:val="en-US" w:eastAsia="zh-CN"/>
              </w:rPr>
            </w:pPr>
            <w:r>
              <w:rPr>
                <w:rFonts w:hint="eastAsia"/>
                <w:b w:val="0"/>
                <w:bCs w:val="0"/>
                <w:vertAlign w:val="baseline"/>
                <w:lang w:val="en-US" w:eastAsia="zh-CN"/>
              </w:rPr>
              <w:t>1</w:t>
            </w:r>
          </w:p>
        </w:tc>
        <w:tc>
          <w:tcPr>
            <w:tcW w:w="2131" w:type="dxa"/>
            <w:vAlign w:val="center"/>
          </w:tcPr>
          <w:p>
            <w:pPr>
              <w:pStyle w:val="5"/>
              <w:widowControl w:val="0"/>
              <w:jc w:val="center"/>
              <w:rPr>
                <w:b w:val="0"/>
                <w:bCs w:val="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pPr>
              <w:pStyle w:val="5"/>
              <w:widowControl w:val="0"/>
              <w:jc w:val="center"/>
              <w:rPr>
                <w:rFonts w:hint="eastAsia" w:eastAsia="宋体"/>
                <w:b w:val="0"/>
                <w:bCs w:val="0"/>
                <w:vertAlign w:val="baseline"/>
                <w:lang w:val="en-US" w:eastAsia="zh-CN"/>
              </w:rPr>
            </w:pPr>
            <w:r>
              <w:rPr>
                <w:rFonts w:hint="eastAsia"/>
                <w:b w:val="0"/>
                <w:bCs w:val="0"/>
                <w:vertAlign w:val="baseline"/>
                <w:lang w:val="en-US" w:eastAsia="zh-CN"/>
              </w:rPr>
              <w:t>4</w:t>
            </w:r>
          </w:p>
        </w:tc>
        <w:tc>
          <w:tcPr>
            <w:tcW w:w="3855" w:type="dxa"/>
            <w:vAlign w:val="center"/>
          </w:tcPr>
          <w:p>
            <w:pPr>
              <w:pStyle w:val="5"/>
              <w:widowControl w:val="0"/>
              <w:jc w:val="center"/>
              <w:rPr>
                <w:b w:val="0"/>
                <w:bCs w:val="0"/>
                <w:vertAlign w:val="baseline"/>
              </w:rPr>
            </w:pPr>
            <w:r>
              <w:rPr>
                <w:rFonts w:eastAsia="宋体"/>
                <w:b w:val="0"/>
                <w:bCs w:val="0"/>
              </w:rPr>
              <w:t>手柄电缆</w:t>
            </w:r>
          </w:p>
        </w:tc>
        <w:tc>
          <w:tcPr>
            <w:tcW w:w="1732" w:type="dxa"/>
            <w:vAlign w:val="center"/>
          </w:tcPr>
          <w:p>
            <w:pPr>
              <w:pStyle w:val="5"/>
              <w:widowControl w:val="0"/>
              <w:jc w:val="center"/>
              <w:rPr>
                <w:rFonts w:hint="eastAsia" w:eastAsia="宋体"/>
                <w:b w:val="0"/>
                <w:bCs w:val="0"/>
                <w:vertAlign w:val="baseline"/>
                <w:lang w:val="en-US" w:eastAsia="zh-CN"/>
              </w:rPr>
            </w:pPr>
            <w:r>
              <w:rPr>
                <w:rFonts w:hint="eastAsia"/>
                <w:b w:val="0"/>
                <w:bCs w:val="0"/>
                <w:vertAlign w:val="baseline"/>
                <w:lang w:val="en-US" w:eastAsia="zh-CN"/>
              </w:rPr>
              <w:t>1</w:t>
            </w:r>
          </w:p>
        </w:tc>
        <w:tc>
          <w:tcPr>
            <w:tcW w:w="2131" w:type="dxa"/>
            <w:vAlign w:val="center"/>
          </w:tcPr>
          <w:p>
            <w:pPr>
              <w:pStyle w:val="5"/>
              <w:widowControl w:val="0"/>
              <w:jc w:val="center"/>
              <w:rPr>
                <w:b w:val="0"/>
                <w:bCs w:val="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pPr>
              <w:pStyle w:val="5"/>
              <w:widowControl w:val="0"/>
              <w:jc w:val="center"/>
              <w:rPr>
                <w:rFonts w:hint="eastAsia" w:eastAsia="宋体"/>
                <w:b w:val="0"/>
                <w:bCs w:val="0"/>
                <w:vertAlign w:val="baseline"/>
                <w:lang w:val="en-US" w:eastAsia="zh-CN"/>
              </w:rPr>
            </w:pPr>
            <w:r>
              <w:rPr>
                <w:rFonts w:hint="eastAsia"/>
                <w:b w:val="0"/>
                <w:bCs w:val="0"/>
                <w:vertAlign w:val="baseline"/>
                <w:lang w:val="en-US" w:eastAsia="zh-CN"/>
              </w:rPr>
              <w:t>5</w:t>
            </w:r>
          </w:p>
        </w:tc>
        <w:tc>
          <w:tcPr>
            <w:tcW w:w="3855" w:type="dxa"/>
            <w:vAlign w:val="center"/>
          </w:tcPr>
          <w:p>
            <w:pPr>
              <w:pStyle w:val="5"/>
              <w:widowControl w:val="0"/>
              <w:jc w:val="center"/>
              <w:rPr>
                <w:b w:val="0"/>
                <w:bCs w:val="0"/>
                <w:vertAlign w:val="baseline"/>
              </w:rPr>
            </w:pPr>
            <w:r>
              <w:rPr>
                <w:rFonts w:eastAsia="宋体"/>
                <w:b w:val="0"/>
                <w:bCs w:val="0"/>
              </w:rPr>
              <w:t>充电电缆</w:t>
            </w:r>
          </w:p>
        </w:tc>
        <w:tc>
          <w:tcPr>
            <w:tcW w:w="1732" w:type="dxa"/>
            <w:vAlign w:val="center"/>
          </w:tcPr>
          <w:p>
            <w:pPr>
              <w:pStyle w:val="5"/>
              <w:widowControl w:val="0"/>
              <w:jc w:val="center"/>
              <w:rPr>
                <w:rFonts w:hint="eastAsia" w:eastAsia="宋体"/>
                <w:b w:val="0"/>
                <w:bCs w:val="0"/>
                <w:vertAlign w:val="baseline"/>
                <w:lang w:val="en-US" w:eastAsia="zh-CN"/>
              </w:rPr>
            </w:pPr>
            <w:r>
              <w:rPr>
                <w:rFonts w:hint="eastAsia"/>
                <w:b w:val="0"/>
                <w:bCs w:val="0"/>
                <w:vertAlign w:val="baseline"/>
                <w:lang w:val="en-US" w:eastAsia="zh-CN"/>
              </w:rPr>
              <w:t>1</w:t>
            </w:r>
          </w:p>
        </w:tc>
        <w:tc>
          <w:tcPr>
            <w:tcW w:w="2131" w:type="dxa"/>
            <w:vAlign w:val="center"/>
          </w:tcPr>
          <w:p>
            <w:pPr>
              <w:pStyle w:val="5"/>
              <w:widowControl w:val="0"/>
              <w:jc w:val="center"/>
              <w:rPr>
                <w:b w:val="0"/>
                <w:bCs w:val="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pPr>
              <w:pStyle w:val="5"/>
              <w:widowControl w:val="0"/>
              <w:jc w:val="center"/>
              <w:rPr>
                <w:rFonts w:hint="eastAsia" w:eastAsia="宋体"/>
                <w:b w:val="0"/>
                <w:bCs w:val="0"/>
                <w:vertAlign w:val="baseline"/>
                <w:lang w:val="en-US" w:eastAsia="zh-CN"/>
              </w:rPr>
            </w:pPr>
            <w:r>
              <w:rPr>
                <w:rFonts w:hint="eastAsia"/>
                <w:b w:val="0"/>
                <w:bCs w:val="0"/>
                <w:vertAlign w:val="baseline"/>
                <w:lang w:val="en-US" w:eastAsia="zh-CN"/>
              </w:rPr>
              <w:t>6</w:t>
            </w:r>
          </w:p>
        </w:tc>
        <w:tc>
          <w:tcPr>
            <w:tcW w:w="3855" w:type="dxa"/>
            <w:vAlign w:val="center"/>
          </w:tcPr>
          <w:p>
            <w:pPr>
              <w:pStyle w:val="5"/>
              <w:widowControl w:val="0"/>
              <w:jc w:val="center"/>
              <w:rPr>
                <w:b w:val="0"/>
                <w:bCs w:val="0"/>
                <w:vertAlign w:val="baseline"/>
              </w:rPr>
            </w:pPr>
            <w:r>
              <w:rPr>
                <w:rFonts w:eastAsia="宋体"/>
                <w:b w:val="0"/>
                <w:bCs w:val="0"/>
              </w:rPr>
              <w:t>打印纸</w:t>
            </w:r>
          </w:p>
        </w:tc>
        <w:tc>
          <w:tcPr>
            <w:tcW w:w="1732" w:type="dxa"/>
            <w:vAlign w:val="center"/>
          </w:tcPr>
          <w:p>
            <w:pPr>
              <w:pStyle w:val="5"/>
              <w:widowControl w:val="0"/>
              <w:jc w:val="center"/>
              <w:rPr>
                <w:rFonts w:hint="eastAsia" w:eastAsia="宋体"/>
                <w:b w:val="0"/>
                <w:bCs w:val="0"/>
                <w:vertAlign w:val="baseline"/>
                <w:lang w:val="en-US" w:eastAsia="zh-CN"/>
              </w:rPr>
            </w:pPr>
            <w:r>
              <w:rPr>
                <w:rFonts w:hint="eastAsia"/>
                <w:b w:val="0"/>
                <w:bCs w:val="0"/>
                <w:vertAlign w:val="baseline"/>
                <w:lang w:val="en-US" w:eastAsia="zh-CN"/>
              </w:rPr>
              <w:t>1</w:t>
            </w:r>
          </w:p>
        </w:tc>
        <w:tc>
          <w:tcPr>
            <w:tcW w:w="2131" w:type="dxa"/>
            <w:vAlign w:val="center"/>
          </w:tcPr>
          <w:p>
            <w:pPr>
              <w:pStyle w:val="5"/>
              <w:widowControl w:val="0"/>
              <w:jc w:val="center"/>
              <w:rPr>
                <w:b w:val="0"/>
                <w:bCs w:val="0"/>
                <w:vertAlign w:val="baseline"/>
              </w:rPr>
            </w:pPr>
          </w:p>
        </w:tc>
      </w:tr>
    </w:tbl>
    <w:p>
      <w:pPr>
        <w:pStyle w:val="5"/>
        <w:pBdr>
          <w:top w:val="none" w:color="auto" w:sz="0" w:space="0"/>
          <w:left w:val="none" w:color="auto" w:sz="0" w:space="0"/>
          <w:bottom w:val="none" w:color="auto" w:sz="0" w:space="0"/>
          <w:right w:val="none" w:color="auto" w:sz="0" w:space="0"/>
        </w:pBdr>
        <w:shd w:val="clear" w:color="auto" w:fill="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A06D8"/>
    <w:rsid w:val="0C9A06D8"/>
    <w:rsid w:val="22560DE3"/>
    <w:rsid w:val="32041CB2"/>
    <w:rsid w:val="34BD4E03"/>
    <w:rsid w:val="3BE607BD"/>
    <w:rsid w:val="71655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参数正文"/>
    <w:basedOn w:val="1"/>
    <w:qFormat/>
    <w:uiPriority w:val="0"/>
    <w:pPr>
      <w:wordWrap/>
      <w:spacing w:before="0" w:beforeLines="0" w:beforeAutospacing="1" w:after="0" w:afterLines="0" w:afterAutospacing="1" w:line="240" w:lineRule="auto"/>
    </w:pPr>
    <w:rPr>
      <w:rFonts w:ascii="宋体" w:hAnsi="宋体" w:eastAsia="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1581</Words>
  <Characters>1753</Characters>
  <Lines>0</Lines>
  <Paragraphs>0</Paragraphs>
  <TotalTime>5</TotalTime>
  <ScaleCrop>false</ScaleCrop>
  <LinksUpToDate>false</LinksUpToDate>
  <CharactersWithSpaces>1759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2025-12-08T03:00:00Z</dcterms:created>
  <dc:creator>L H G敢</dc:creator>
  <cp:lastModifiedBy>Administrator</cp:lastModifiedBy>
  <dcterms:modified xsi:type="dcterms:W3CDTF">2025-12-10T02:14:51Z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63AF26A761EB4701B02B2A6DF15FBBE8_11</vt:lpwstr>
  </property>
  <property fmtid="{D5CDD505-2E9C-101B-9397-08002B2CF9AE}" pid="4" name="KSOTemplateDocerSaveRecord">
    <vt:lpwstr>eyJoZGlkIjoiZTI4YThhODA0MDdmNzhjYWYwNjAwNDcxNzM5NjQ1NzAiLCJ1c2VySWQiOiIzODg3NzY0NTgifQ==</vt:lpwstr>
  </property>
</Properties>
</file>