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2DAB">
      <w:pPr>
        <w:spacing w:line="360" w:lineRule="exact"/>
        <w:rPr>
          <w:rFonts w:hint="eastAsia" w:eastAsia="等线"/>
          <w:sz w:val="36"/>
          <w:szCs w:val="36"/>
          <w:lang w:val="en-US" w:eastAsia="zh-CN"/>
        </w:rPr>
      </w:pPr>
      <w:r>
        <w:rPr>
          <w:rFonts w:hint="eastAsia" w:ascii="宋体" w:hAnsi="宋体" w:cs="宋体"/>
          <w:sz w:val="22"/>
          <w:lang w:eastAsia="zh-CN"/>
        </w:rPr>
        <w:t>合同编号：</w:t>
      </w:r>
    </w:p>
    <w:p w14:paraId="4E9C356A">
      <w:pPr>
        <w:ind w:left="21120" w:hanging="21120" w:hangingChars="2200"/>
        <w:jc w:val="center"/>
        <w:rPr>
          <w:rFonts w:hint="eastAsia"/>
          <w:sz w:val="96"/>
          <w:szCs w:val="96"/>
          <w:lang w:eastAsia="zh-CN"/>
        </w:rPr>
      </w:pPr>
    </w:p>
    <w:p w14:paraId="762AE009">
      <w:pPr>
        <w:ind w:left="21120" w:hanging="21120" w:hangingChars="2200"/>
        <w:jc w:val="center"/>
        <w:rPr>
          <w:rFonts w:hint="eastAsia" w:eastAsia="等线"/>
          <w:sz w:val="96"/>
          <w:szCs w:val="96"/>
          <w:lang w:eastAsia="zh-CN"/>
        </w:rPr>
      </w:pPr>
      <w:r>
        <w:rPr>
          <w:rFonts w:hint="eastAsia"/>
          <w:sz w:val="96"/>
          <w:szCs w:val="96"/>
          <w:lang w:eastAsia="zh-CN"/>
        </w:rPr>
        <w:t>合同</w:t>
      </w:r>
    </w:p>
    <w:p w14:paraId="373E1A22">
      <w:pPr>
        <w:ind w:left="21120" w:hanging="21120" w:hangingChars="2200"/>
        <w:jc w:val="center"/>
        <w:rPr>
          <w:sz w:val="96"/>
          <w:szCs w:val="96"/>
        </w:rPr>
      </w:pPr>
    </w:p>
    <w:p w14:paraId="5CE7DADE">
      <w:pPr>
        <w:rPr>
          <w:sz w:val="96"/>
          <w:szCs w:val="96"/>
        </w:rPr>
      </w:pPr>
    </w:p>
    <w:p w14:paraId="126D6284">
      <w:pPr>
        <w:rPr>
          <w:sz w:val="96"/>
          <w:szCs w:val="96"/>
        </w:rPr>
      </w:pPr>
    </w:p>
    <w:p w14:paraId="5A0D11DC">
      <w:pPr>
        <w:spacing w:line="600" w:lineRule="exact"/>
        <w:ind w:left="1800" w:hanging="1800" w:hangingChars="500"/>
        <w:rPr>
          <w:rFonts w:hint="eastAsia"/>
          <w:sz w:val="36"/>
          <w:szCs w:val="36"/>
          <w:lang w:eastAsia="zh-CN"/>
        </w:rPr>
      </w:pPr>
      <w:r>
        <w:rPr>
          <w:rFonts w:hint="eastAsia"/>
          <w:sz w:val="36"/>
          <w:szCs w:val="36"/>
        </w:rPr>
        <w:t xml:space="preserve">项目名称： </w:t>
      </w:r>
      <w:r>
        <w:rPr>
          <w:rFonts w:hint="eastAsia"/>
          <w:sz w:val="36"/>
          <w:szCs w:val="36"/>
          <w:lang w:eastAsia="zh-CN"/>
        </w:rPr>
        <w:t>台山市妇幼保健院</w:t>
      </w:r>
      <w:r>
        <w:rPr>
          <w:rFonts w:hint="eastAsia"/>
          <w:color w:val="FF0000"/>
          <w:sz w:val="36"/>
          <w:szCs w:val="36"/>
          <w:lang w:val="en-US" w:eastAsia="zh-CN"/>
        </w:rPr>
        <w:t>皮肤检测仪</w:t>
      </w:r>
      <w:r>
        <w:rPr>
          <w:rFonts w:hint="eastAsia"/>
          <w:sz w:val="36"/>
          <w:szCs w:val="36"/>
          <w:lang w:eastAsia="zh-CN"/>
        </w:rPr>
        <w:t>采购项目</w:t>
      </w:r>
    </w:p>
    <w:p w14:paraId="6F147E00">
      <w:pPr>
        <w:spacing w:line="600" w:lineRule="exact"/>
        <w:ind w:left="1800" w:hanging="1800" w:hangingChars="500"/>
        <w:rPr>
          <w:rFonts w:hint="default"/>
          <w:sz w:val="36"/>
          <w:szCs w:val="36"/>
          <w:lang w:val="en-US" w:eastAsia="zh-CN"/>
        </w:rPr>
      </w:pPr>
      <w:r>
        <w:rPr>
          <w:rFonts w:hint="eastAsia"/>
          <w:sz w:val="36"/>
          <w:szCs w:val="36"/>
          <w:lang w:eastAsia="zh-CN"/>
        </w:rPr>
        <w:t>采购编号：</w:t>
      </w:r>
      <w:r>
        <w:rPr>
          <w:rFonts w:hint="eastAsia"/>
          <w:sz w:val="36"/>
          <w:szCs w:val="36"/>
          <w:lang w:val="en-US" w:eastAsia="zh-CN"/>
        </w:rPr>
        <w:t xml:space="preserve"> ID：61288</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sz w:val="36"/>
          <w:szCs w:val="36"/>
        </w:rPr>
      </w:pPr>
      <w:r>
        <w:rPr>
          <w:rFonts w:hint="eastAsia"/>
          <w:sz w:val="36"/>
          <w:szCs w:val="36"/>
        </w:rPr>
        <w:t>地址：</w:t>
      </w:r>
    </w:p>
    <w:p w14:paraId="6EC92D35">
      <w:pPr>
        <w:spacing w:line="600" w:lineRule="exact"/>
        <w:rPr>
          <w:rFonts w:hint="eastAsia"/>
          <w:sz w:val="36"/>
          <w:szCs w:val="36"/>
        </w:rPr>
      </w:pPr>
      <w:r>
        <w:rPr>
          <w:rFonts w:hint="eastAsia"/>
          <w:sz w:val="36"/>
          <w:szCs w:val="36"/>
        </w:rPr>
        <w:t>日期：</w:t>
      </w:r>
    </w:p>
    <w:p w14:paraId="20BB4E2E">
      <w:pPr>
        <w:spacing w:line="600" w:lineRule="exact"/>
        <w:rPr>
          <w:rFonts w:hint="eastAsia"/>
          <w:sz w:val="36"/>
          <w:szCs w:val="36"/>
        </w:rPr>
      </w:pPr>
    </w:p>
    <w:p w14:paraId="45470FBE">
      <w:pPr>
        <w:spacing w:line="600" w:lineRule="exact"/>
        <w:rPr>
          <w:rFonts w:hint="eastAsia"/>
          <w:sz w:val="36"/>
          <w:szCs w:val="36"/>
        </w:rPr>
        <w:sectPr>
          <w:footerReference r:id="rId3" w:type="default"/>
          <w:pgSz w:w="11906" w:h="16838"/>
          <w:pgMar w:top="1440" w:right="1800" w:bottom="1440" w:left="1800" w:header="851" w:footer="992" w:gutter="0"/>
          <w:cols w:space="425" w:num="1"/>
          <w:docGrid w:type="lines" w:linePitch="312" w:charSpace="0"/>
        </w:sectPr>
      </w:pPr>
    </w:p>
    <w:p w14:paraId="18EB9698">
      <w:pPr>
        <w:spacing w:line="600" w:lineRule="exact"/>
        <w:rPr>
          <w:rFonts w:hint="eastAsia"/>
          <w:sz w:val="36"/>
          <w:szCs w:val="36"/>
        </w:rPr>
      </w:pPr>
    </w:p>
    <w:p w14:paraId="537299F4">
      <w:pPr>
        <w:ind w:firstLine="562" w:firstLineChars="200"/>
        <w:jc w:val="both"/>
        <w:outlineLvl w:val="1"/>
        <w:rPr>
          <w:rFonts w:hint="eastAsia" w:ascii="仿宋" w:hAnsi="仿宋" w:eastAsia="仿宋" w:cs="仿宋"/>
          <w:b/>
          <w:color w:val="auto"/>
          <w:sz w:val="28"/>
          <w:szCs w:val="28"/>
          <w:highlight w:val="none"/>
        </w:rPr>
      </w:pPr>
    </w:p>
    <w:p w14:paraId="503F134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一、货物内容</w:t>
      </w:r>
    </w:p>
    <w:tbl>
      <w:tblPr>
        <w:tblStyle w:val="6"/>
        <w:tblpPr w:leftFromText="180" w:rightFromText="180" w:vertAnchor="text" w:horzAnchor="page" w:tblpX="1990"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887"/>
        <w:gridCol w:w="1330"/>
        <w:gridCol w:w="628"/>
        <w:gridCol w:w="634"/>
        <w:gridCol w:w="1438"/>
        <w:gridCol w:w="1511"/>
      </w:tblGrid>
      <w:tr w14:paraId="0402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94" w:type="dxa"/>
            <w:noWrap w:val="0"/>
            <w:vAlign w:val="center"/>
          </w:tcPr>
          <w:p w14:paraId="1CCB0B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887" w:type="dxa"/>
            <w:noWrap w:val="0"/>
            <w:vAlign w:val="center"/>
          </w:tcPr>
          <w:p w14:paraId="05AE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品牌、规格、标准/主要服务内容</w:t>
            </w:r>
          </w:p>
        </w:tc>
        <w:tc>
          <w:tcPr>
            <w:tcW w:w="1330" w:type="dxa"/>
            <w:noWrap w:val="0"/>
            <w:vAlign w:val="center"/>
          </w:tcPr>
          <w:p w14:paraId="38F4D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628" w:type="dxa"/>
            <w:noWrap w:val="0"/>
            <w:vAlign w:val="center"/>
          </w:tcPr>
          <w:p w14:paraId="35B86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634" w:type="dxa"/>
            <w:noWrap w:val="0"/>
            <w:vAlign w:val="center"/>
          </w:tcPr>
          <w:p w14:paraId="432CB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438" w:type="dxa"/>
            <w:noWrap w:val="0"/>
            <w:vAlign w:val="center"/>
          </w:tcPr>
          <w:p w14:paraId="46C3F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单价</w:t>
            </w:r>
          </w:p>
          <w:p w14:paraId="0CF36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1511" w:type="dxa"/>
            <w:noWrap w:val="0"/>
            <w:vAlign w:val="center"/>
          </w:tcPr>
          <w:p w14:paraId="66464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金额</w:t>
            </w:r>
          </w:p>
          <w:p w14:paraId="04F7F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r>
      <w:tr w14:paraId="7BE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094" w:type="dxa"/>
            <w:noWrap w:val="0"/>
            <w:vAlign w:val="center"/>
          </w:tcPr>
          <w:p w14:paraId="51C5C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color w:val="FF0000"/>
                <w:sz w:val="36"/>
                <w:szCs w:val="36"/>
                <w:lang w:val="en-US" w:eastAsia="zh-CN"/>
              </w:rPr>
              <w:t>皮肤检测仪</w:t>
            </w:r>
            <w:bookmarkStart w:id="0" w:name="_GoBack"/>
            <w:bookmarkEnd w:id="0"/>
          </w:p>
        </w:tc>
        <w:tc>
          <w:tcPr>
            <w:tcW w:w="1887" w:type="dxa"/>
            <w:noWrap w:val="0"/>
            <w:vAlign w:val="center"/>
          </w:tcPr>
          <w:p w14:paraId="18FD1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以中标供应商的投标文件为准</w:t>
            </w:r>
          </w:p>
        </w:tc>
        <w:tc>
          <w:tcPr>
            <w:tcW w:w="1330" w:type="dxa"/>
            <w:noWrap w:val="0"/>
            <w:vAlign w:val="center"/>
          </w:tcPr>
          <w:p w14:paraId="3B4C9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628" w:type="dxa"/>
            <w:noWrap w:val="0"/>
            <w:vAlign w:val="center"/>
          </w:tcPr>
          <w:p w14:paraId="42F7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w:t>
            </w:r>
          </w:p>
        </w:tc>
        <w:tc>
          <w:tcPr>
            <w:tcW w:w="634" w:type="dxa"/>
            <w:noWrap w:val="0"/>
            <w:vAlign w:val="center"/>
          </w:tcPr>
          <w:p w14:paraId="68E8E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台</w:t>
            </w:r>
          </w:p>
        </w:tc>
        <w:tc>
          <w:tcPr>
            <w:tcW w:w="1438" w:type="dxa"/>
            <w:noWrap w:val="0"/>
            <w:vAlign w:val="center"/>
          </w:tcPr>
          <w:p w14:paraId="66952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1511" w:type="dxa"/>
            <w:noWrap w:val="0"/>
            <w:vAlign w:val="center"/>
          </w:tcPr>
          <w:p w14:paraId="4F032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r>
    </w:tbl>
    <w:p w14:paraId="7860AE60">
      <w:pPr>
        <w:jc w:val="center"/>
        <w:rPr>
          <w:rFonts w:hint="eastAsia" w:ascii="仿宋" w:hAnsi="仿宋" w:eastAsia="仿宋" w:cs="仿宋"/>
          <w:color w:val="auto"/>
          <w:sz w:val="28"/>
          <w:szCs w:val="28"/>
          <w:highlight w:val="none"/>
        </w:rPr>
      </w:pPr>
    </w:p>
    <w:p w14:paraId="364851A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合同总额包括乙方设计、安装、随机零配件、标配工具、运输保险、调试、培训、质保期服务、各项税费及合同实施过程中不可预见费用等。</w:t>
      </w:r>
    </w:p>
    <w:p w14:paraId="1064584D">
      <w:pPr>
        <w:ind w:firstLine="812" w:firstLineChars="2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注：货物名称内容必须与投标文件中货物名称内容一致。</w:t>
      </w:r>
    </w:p>
    <w:p w14:paraId="44795F5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二、合同金额</w:t>
      </w:r>
    </w:p>
    <w:p w14:paraId="2DE79EA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合同金额为（大写）：_________________元（￥_______________元）人民币。</w:t>
      </w:r>
    </w:p>
    <w:p w14:paraId="4F42F27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三、设备要求</w:t>
      </w:r>
    </w:p>
    <w:p w14:paraId="15FE3D2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货物为原制造商制造的全新产品，整机无污染，无侵权行为、表面无划损、无任何缺陷隐患，在中国境内可依常规安全合法使用。</w:t>
      </w:r>
    </w:p>
    <w:p w14:paraId="249E70A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四、交货期、交货方式及交货地点</w:t>
      </w:r>
    </w:p>
    <w:p w14:paraId="1E4D635E">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1.交货期：合同生效之日起</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个日历日内。（包括货物的安装、调试及验收）。</w:t>
      </w:r>
    </w:p>
    <w:p w14:paraId="099D2D1A">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2.交货方式：送货上门</w:t>
      </w:r>
    </w:p>
    <w:p w14:paraId="56379B76">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3.交货地点：</w:t>
      </w:r>
      <w:r>
        <w:rPr>
          <w:rFonts w:hint="eastAsia" w:ascii="仿宋" w:hAnsi="仿宋" w:eastAsia="仿宋" w:cs="仿宋"/>
          <w:b w:val="0"/>
          <w:bCs/>
          <w:color w:val="auto"/>
          <w:sz w:val="28"/>
          <w:szCs w:val="28"/>
          <w:highlight w:val="none"/>
          <w:lang w:eastAsia="zh-CN"/>
        </w:rPr>
        <w:t>台山市妇幼保健院</w:t>
      </w:r>
      <w:r>
        <w:rPr>
          <w:rFonts w:hint="eastAsia" w:ascii="仿宋" w:hAnsi="仿宋" w:eastAsia="仿宋" w:cs="仿宋"/>
          <w:b w:val="0"/>
          <w:bCs/>
          <w:color w:val="auto"/>
          <w:sz w:val="28"/>
          <w:szCs w:val="28"/>
          <w:highlight w:val="none"/>
        </w:rPr>
        <w:t>（以甲方实际要求为准）</w:t>
      </w:r>
    </w:p>
    <w:p w14:paraId="27BF18A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五、付款方式</w:t>
      </w:r>
    </w:p>
    <w:p w14:paraId="68A2F7C5">
      <w:pPr>
        <w:ind w:firstLine="640" w:firstLineChars="200"/>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626BBB1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六、质保期及售后服务要求</w:t>
      </w:r>
    </w:p>
    <w:p w14:paraId="4F87BD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w:t>
      </w:r>
      <w:r>
        <w:rPr>
          <w:rFonts w:hint="eastAsia" w:ascii="仿宋_GB2312" w:hAnsi="仿宋_GB2312" w:eastAsia="仿宋_GB2312" w:cs="仿宋_GB2312"/>
          <w:color w:val="FF0000"/>
          <w:sz w:val="32"/>
          <w:szCs w:val="32"/>
        </w:rPr>
        <w:t>原厂保修期至少</w:t>
      </w:r>
      <w:r>
        <w:rPr>
          <w:rFonts w:hint="eastAsia" w:ascii="仿宋_GB2312" w:hAnsi="仿宋_GB2312" w:eastAsia="仿宋_GB2312" w:cs="仿宋_GB2312"/>
          <w:color w:val="FF0000"/>
          <w:sz w:val="32"/>
          <w:szCs w:val="32"/>
          <w:lang w:val="en-US"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5B79F00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p>
    <w:p w14:paraId="2534337E">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36DFA9B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七、安装与调试</w:t>
      </w:r>
    </w:p>
    <w:p w14:paraId="27EAA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3D8D960F">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八、验收：</w:t>
      </w:r>
    </w:p>
    <w:p w14:paraId="6F516D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28732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7041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4.最终验收方式：安装完毕后，由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组织验收，设备参数与合同一致，设备质量、服务内容达到合同要求；验收时如发现与采购合同条款不符的货物时，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提出异议，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应无条件更换。若</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交货期内无法提供符合采购合同条款的货物，甲方有权单方面解除合同并追究乙方违约责任。</w:t>
      </w:r>
    </w:p>
    <w:p w14:paraId="625BDDF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九、违约责任与赔偿损失</w:t>
      </w:r>
    </w:p>
    <w:p w14:paraId="213D855E">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1.乙方交付的货物、工程/提供的服务不符合本合同规定的，甲方有权拒收，并且乙方须向甲方支付本合同总价5%的违约金。</w:t>
      </w:r>
    </w:p>
    <w:p w14:paraId="52C4127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能按本合同规定的交货时间交付货物的/提供服务，从逾期之日起每日按本合同总价1‰的数额向甲方支付违约金；逾期半个月以上的，或合同履行期间未能提供售后服务、或逾期响应售后服务的次数累计达到3次及以上的，甲方有权单方面解除合同，乙方须向甲方返还已支付的全部费用及一次性支付合同总价的30%作为违约金，违约金不足以弥补甲方损失的，乙方应当补充赔偿甲方的损失。</w:t>
      </w:r>
    </w:p>
    <w:p w14:paraId="09819B82">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3.甲方无正当理由拒收货物/接受服务，到期拒付货物/服务款项的，甲方向乙方偿付本合同总的5%的违约金。甲方人逾期付款，则每日按本合同总价的1‰向乙方偿付违约金。</w:t>
      </w:r>
    </w:p>
    <w:p w14:paraId="5D0388D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4.对于因甲方原因导致变更、中止或者终止政府采购合同的，甲方应当依照以下合同约定对供应商受到的损失予以赔偿或者补偿：</w:t>
      </w:r>
    </w:p>
    <w:p w14:paraId="711932F7">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14:paraId="3E0F6B92">
      <w:pPr>
        <w:ind w:firstLine="560" w:firstLineChars="200"/>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5.其它违约责任按《中华人民共和国民法典(合同编)》处理。</w:t>
      </w:r>
    </w:p>
    <w:p w14:paraId="5A880608">
      <w:pPr>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十、争议的解决</w:t>
      </w:r>
      <w:r>
        <w:rPr>
          <w:rFonts w:hint="eastAsia" w:ascii="仿宋" w:hAnsi="仿宋" w:eastAsia="仿宋" w:cs="仿宋"/>
          <w:color w:val="auto"/>
          <w:sz w:val="28"/>
          <w:szCs w:val="28"/>
          <w:highlight w:val="none"/>
        </w:rPr>
        <w:t xml:space="preserve">  合同执行过程中发生的任何争议，如双方不能通过友好协商解决，可向</w:t>
      </w:r>
      <w:r>
        <w:rPr>
          <w:rFonts w:hint="eastAsia" w:ascii="仿宋" w:hAnsi="仿宋" w:eastAsia="仿宋" w:cs="仿宋"/>
          <w:color w:val="auto"/>
          <w:sz w:val="28"/>
          <w:szCs w:val="28"/>
          <w:highlight w:val="none"/>
          <w:lang w:val="en-US" w:eastAsia="zh-CN"/>
        </w:rPr>
        <w:t>甲方所在地</w:t>
      </w:r>
      <w:r>
        <w:rPr>
          <w:rFonts w:hint="eastAsia" w:ascii="仿宋" w:hAnsi="仿宋" w:eastAsia="仿宋" w:cs="仿宋"/>
          <w:color w:val="auto"/>
          <w:sz w:val="28"/>
          <w:szCs w:val="28"/>
          <w:highlight w:val="none"/>
        </w:rPr>
        <w:t>人民法院提起诉讼。</w:t>
      </w:r>
    </w:p>
    <w:p w14:paraId="461D7A9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十一、不可抗力</w:t>
      </w:r>
    </w:p>
    <w:p w14:paraId="7F16C886">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F55765">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十二、税费</w:t>
      </w:r>
    </w:p>
    <w:p w14:paraId="54D3E80A">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1.在中国境内、外发生的与本合同执行有关的一切税费均由乙方负担。</w:t>
      </w:r>
    </w:p>
    <w:p w14:paraId="4B824B62">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知识产权归属</w:t>
      </w:r>
    </w:p>
    <w:p w14:paraId="78DE94EA">
      <w:pPr>
        <w:ind w:firstLine="560" w:firstLineChars="200"/>
        <w:jc w:val="both"/>
        <w:rPr>
          <w:rFonts w:hint="eastAsia"/>
          <w:color w:val="auto"/>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E1B90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其它</w:t>
      </w:r>
    </w:p>
    <w:p w14:paraId="020E5F90">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1.本合同所有附件、招标文件、投标文件、中标通知书均为合同的有效组成部分，与本合同具有同等法律效力。</w:t>
      </w:r>
    </w:p>
    <w:p w14:paraId="2EF639D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14:paraId="183EFB6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3.如一方地址、电话、传真号码有变更，应在变更当日内书面通知对方，否则，应承担相应责任。</w:t>
      </w:r>
    </w:p>
    <w:p w14:paraId="52E02C5D">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4.除甲方事先书面同意外，乙方不得部分或全部转让其应履行的合同项下的义务。</w:t>
      </w:r>
    </w:p>
    <w:p w14:paraId="073009B9">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、合同生效</w:t>
      </w:r>
    </w:p>
    <w:p w14:paraId="2B40D1CB">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1.本合同在甲乙双方法人代表或其授权代表签字盖章后生效。</w:t>
      </w:r>
    </w:p>
    <w:p w14:paraId="058952C9">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F3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28FD3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02840D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643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7AB80C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69F9BD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720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3044BF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7FAEE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756F1AAD">
      <w:pPr>
        <w:ind w:firstLine="560" w:firstLineChars="200"/>
        <w:jc w:val="both"/>
        <w:rPr>
          <w:rFonts w:hint="eastAsia" w:ascii="仿宋" w:hAnsi="仿宋" w:eastAsia="仿宋" w:cs="仿宋"/>
          <w:color w:val="auto"/>
          <w:sz w:val="28"/>
          <w:szCs w:val="28"/>
          <w:highlight w:val="none"/>
        </w:rPr>
      </w:pPr>
    </w:p>
    <w:p w14:paraId="51A31E44">
      <w:pPr>
        <w:ind w:firstLine="560" w:firstLineChars="200"/>
        <w:jc w:val="both"/>
        <w:rPr>
          <w:rFonts w:hint="eastAsia" w:ascii="仿宋" w:hAnsi="仿宋" w:eastAsia="仿宋" w:cs="仿宋"/>
          <w:color w:val="auto"/>
          <w:sz w:val="28"/>
          <w:szCs w:val="28"/>
          <w:highlight w:val="none"/>
        </w:rPr>
      </w:pPr>
    </w:p>
    <w:p w14:paraId="1E4817E5">
      <w:pPr>
        <w:pStyle w:val="2"/>
        <w:rPr>
          <w:rFonts w:hint="eastAsia"/>
          <w:color w:val="auto"/>
          <w:highlight w:val="none"/>
        </w:rPr>
      </w:pPr>
    </w:p>
    <w:p w14:paraId="304F5413">
      <w:pPr>
        <w:spacing w:line="480" w:lineRule="exact"/>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甲乙双方其它约定</w:t>
      </w:r>
    </w:p>
    <w:p w14:paraId="52FCCC1D">
      <w:pPr>
        <w:pStyle w:val="5"/>
        <w:spacing w:before="0" w:beforeAutospacing="0" w:after="0" w:afterAutospacing="0" w:line="360" w:lineRule="auto"/>
        <w:ind w:firstLine="42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须有属本公司的可随时上门作维修及检测的工程师，</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须全天候2小时内电话响应，并在接到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通知后的2小时内抵达故障现场（包括节假日）；</w:t>
      </w:r>
    </w:p>
    <w:p w14:paraId="6C55B11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须自验收合格之日起负责免费保修不低于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年，保证保修期内为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服务的工程师需取得所投产品的专业认证，每年提供不少于4次上门保养服务，并按保养规范提供服务内容，包括设备清洁、性能测试及校准、必要的机械或电气的检查，以及非紧急性质的补救性维修，并定期对设备的数据进行备份，确保系统能按照制造商的产品规格运行的标准来维修，并提供符合原厂技术要求的保养报告,若招标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的推广文件、澄清文件无特别说明，所有费用由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确保每年故障停机不超过１８天(开机率能达到95%或以上)，否则每超过１天保修期后延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终身提供技术咨询及设备维护，保修期外故障维修只收取零配件费用；</w:t>
      </w:r>
    </w:p>
    <w:p w14:paraId="1D1C6A59">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有关操作人员，直至掌握一级养护和操作技术为止，必须提供快速操作指南及养护手册(中文)纸质及电子版。</w:t>
      </w:r>
    </w:p>
    <w:p w14:paraId="389A207D">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4、若须消毒灭菌的，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有关操作人员，直至掌握消毒灭菌技术为止，必须提供消毒灭菌指南(中文)纸质及电子版。</w:t>
      </w:r>
    </w:p>
    <w:p w14:paraId="4F4CBC4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有关临床工程技术人员，直至掌握基本的日常维护及常见故障的排除为止，必须提供完整的维护维修手册及错误代码表。</w:t>
      </w:r>
    </w:p>
    <w:p w14:paraId="322BF91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6、若含有计算机软件的，必须提供各项权限的密码及系统备份。</w:t>
      </w:r>
    </w:p>
    <w:p w14:paraId="70D621DE">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保证配合保养计划，针对产品的外部环境、主要参数与性能做质量评估，从而减少机器非正常停机的风险，提高设备的开机率，及时排除安全隐患，需要</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整改的必须及时书面提出整改方案。</w:t>
      </w:r>
    </w:p>
    <w:p w14:paraId="0B9FDA48">
      <w:p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8、乙方必须提供设备维修和维护的历史记录服务报告。</w:t>
      </w:r>
      <w:r>
        <w:rPr>
          <w:rFonts w:hint="eastAsia" w:ascii="仿宋" w:hAnsi="仿宋" w:eastAsia="仿宋" w:cs="仿宋"/>
          <w:color w:val="auto"/>
          <w:kern w:val="0"/>
          <w:sz w:val="28"/>
          <w:szCs w:val="28"/>
          <w:highlight w:val="none"/>
        </w:rPr>
        <w:br w:type="page"/>
      </w:r>
    </w:p>
    <w:p w14:paraId="25F8DEC7">
      <w:pPr>
        <w:spacing w:line="48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：维保及培训计划书</w:t>
      </w:r>
    </w:p>
    <w:tbl>
      <w:tblPr>
        <w:tblStyle w:val="7"/>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160"/>
        <w:gridCol w:w="2491"/>
        <w:gridCol w:w="1623"/>
      </w:tblGrid>
      <w:tr w14:paraId="1F4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1C7BB6D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637A97">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4D12455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维保内容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D462F9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6F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F03EC27">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DC561A">
            <w:pPr>
              <w:spacing w:line="480" w:lineRule="exact"/>
              <w:jc w:val="left"/>
              <w:rPr>
                <w:rFonts w:hint="eastAsia" w:ascii="仿宋" w:hAnsi="仿宋" w:eastAsia="仿宋" w:cs="仿宋"/>
                <w:color w:val="auto"/>
                <w:kern w:val="0"/>
                <w:sz w:val="28"/>
                <w:szCs w:val="28"/>
                <w:highlight w:val="none"/>
              </w:rPr>
            </w:pPr>
          </w:p>
        </w:tc>
        <w:tc>
          <w:tcPr>
            <w:tcW w:w="2491" w:type="dxa"/>
            <w:vMerge w:val="restart"/>
            <w:tcBorders>
              <w:top w:val="single" w:color="auto" w:sz="4" w:space="0"/>
              <w:left w:val="single" w:color="auto" w:sz="4" w:space="0"/>
              <w:bottom w:val="single" w:color="auto" w:sz="4" w:space="0"/>
              <w:right w:val="single" w:color="auto" w:sz="4" w:space="0"/>
            </w:tcBorders>
            <w:noWrap w:val="0"/>
            <w:vAlign w:val="top"/>
          </w:tcPr>
          <w:p w14:paraId="12A68B2C">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53064">
            <w:pPr>
              <w:spacing w:line="480" w:lineRule="exact"/>
              <w:jc w:val="left"/>
              <w:rPr>
                <w:rFonts w:hint="eastAsia" w:ascii="仿宋" w:hAnsi="仿宋" w:eastAsia="仿宋" w:cs="仿宋"/>
                <w:color w:val="auto"/>
                <w:kern w:val="0"/>
                <w:sz w:val="28"/>
                <w:szCs w:val="28"/>
                <w:highlight w:val="none"/>
              </w:rPr>
            </w:pPr>
          </w:p>
        </w:tc>
      </w:tr>
      <w:tr w14:paraId="13E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3CF3C36C">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AD60E9F">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3C29536E">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D4DE6FA">
            <w:pPr>
              <w:spacing w:line="480" w:lineRule="exact"/>
              <w:jc w:val="left"/>
              <w:rPr>
                <w:rFonts w:hint="eastAsia" w:ascii="仿宋" w:hAnsi="仿宋" w:eastAsia="仿宋" w:cs="仿宋"/>
                <w:color w:val="auto"/>
                <w:kern w:val="0"/>
                <w:sz w:val="28"/>
                <w:szCs w:val="28"/>
                <w:highlight w:val="none"/>
              </w:rPr>
            </w:pPr>
          </w:p>
        </w:tc>
      </w:tr>
      <w:tr w14:paraId="18C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4B39A3DE">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B00002B">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7F224DE5">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CE71E35">
            <w:pPr>
              <w:spacing w:line="480" w:lineRule="exact"/>
              <w:jc w:val="left"/>
              <w:rPr>
                <w:rFonts w:hint="eastAsia" w:ascii="仿宋" w:hAnsi="仿宋" w:eastAsia="仿宋" w:cs="仿宋"/>
                <w:color w:val="auto"/>
                <w:kern w:val="0"/>
                <w:sz w:val="28"/>
                <w:szCs w:val="28"/>
                <w:highlight w:val="none"/>
              </w:rPr>
            </w:pPr>
          </w:p>
        </w:tc>
      </w:tr>
      <w:tr w14:paraId="2E6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7D4C59DD">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C4B2D71">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5F0256AB">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培训内容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5A7A33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4C0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5846B28">
            <w:pPr>
              <w:spacing w:line="480" w:lineRule="exact"/>
              <w:jc w:val="center"/>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0B84872">
            <w:pPr>
              <w:spacing w:line="480" w:lineRule="exact"/>
              <w:jc w:val="center"/>
              <w:rPr>
                <w:rFonts w:hint="eastAsia" w:ascii="仿宋" w:hAnsi="仿宋" w:eastAsia="仿宋" w:cs="仿宋"/>
                <w:color w:val="auto"/>
                <w:kern w:val="0"/>
                <w:sz w:val="28"/>
                <w:szCs w:val="28"/>
                <w:highlight w:val="none"/>
              </w:rPr>
            </w:pPr>
          </w:p>
        </w:tc>
        <w:tc>
          <w:tcPr>
            <w:tcW w:w="2491" w:type="dxa"/>
            <w:tcBorders>
              <w:top w:val="single" w:color="auto" w:sz="4" w:space="0"/>
              <w:left w:val="single" w:color="auto" w:sz="4" w:space="0"/>
              <w:bottom w:val="single" w:color="auto" w:sz="4" w:space="0"/>
              <w:right w:val="single" w:color="auto" w:sz="4" w:space="0"/>
            </w:tcBorders>
            <w:noWrap w:val="0"/>
            <w:vAlign w:val="top"/>
          </w:tcPr>
          <w:p w14:paraId="09AB6F3A">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34E22F01">
            <w:pPr>
              <w:spacing w:line="480" w:lineRule="exact"/>
              <w:jc w:val="left"/>
              <w:rPr>
                <w:rFonts w:hint="eastAsia" w:ascii="仿宋" w:hAnsi="仿宋" w:eastAsia="仿宋" w:cs="仿宋"/>
                <w:color w:val="auto"/>
                <w:kern w:val="0"/>
                <w:sz w:val="28"/>
                <w:szCs w:val="28"/>
                <w:highlight w:val="none"/>
              </w:rPr>
            </w:pPr>
          </w:p>
        </w:tc>
      </w:tr>
    </w:tbl>
    <w:p w14:paraId="09E1164F">
      <w:pPr>
        <w:rPr>
          <w:rFonts w:hint="eastAsia" w:ascii="仿宋" w:hAnsi="仿宋" w:eastAsia="仿宋" w:cs="仿宋"/>
          <w:color w:val="auto"/>
          <w:sz w:val="28"/>
          <w:szCs w:val="28"/>
          <w:highlight w:val="none"/>
        </w:rPr>
      </w:pPr>
    </w:p>
    <w:p w14:paraId="62B9E0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D9BE93D">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sz w:val="28"/>
          <w:szCs w:val="28"/>
          <w:highlight w:val="none"/>
        </w:rPr>
        <w:t>医疗卫生机构医药产品廉洁购销合同</w:t>
      </w:r>
    </w:p>
    <w:p w14:paraId="1C8A753F">
      <w:pPr>
        <w:spacing w:line="360" w:lineRule="exact"/>
        <w:rPr>
          <w:rFonts w:hint="eastAsia" w:ascii="仿宋" w:hAnsi="仿宋" w:eastAsia="仿宋" w:cs="仿宋"/>
          <w:color w:val="auto"/>
          <w:sz w:val="28"/>
          <w:szCs w:val="28"/>
          <w:highlight w:val="none"/>
        </w:rPr>
      </w:pPr>
    </w:p>
    <w:p w14:paraId="7B357C77">
      <w:pPr>
        <w:spacing w:line="440" w:lineRule="exac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甲方: </w:t>
      </w:r>
      <w:r>
        <w:rPr>
          <w:rFonts w:hint="eastAsia" w:ascii="仿宋" w:hAnsi="仿宋" w:eastAsia="仿宋" w:cs="仿宋"/>
          <w:b/>
          <w:color w:val="auto"/>
          <w:sz w:val="28"/>
          <w:szCs w:val="28"/>
          <w:highlight w:val="none"/>
          <w:lang w:eastAsia="zh-CN"/>
        </w:rPr>
        <w:t>台山市妇幼保健院</w:t>
      </w:r>
    </w:p>
    <w:p w14:paraId="4C9DBD0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乙方: </w:t>
      </w:r>
    </w:p>
    <w:p w14:paraId="2ABA3E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0BBC3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一、甲乙双方按照《中华人民共和国民法典》及医药产品购销合同约定购销药品、医用设备、医用耗材等医药产品。</w:t>
      </w:r>
    </w:p>
    <w:p w14:paraId="52778D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二、甲方应当严格执行医药产品购销合同验收、入库制度，对采购医药产品及发票进行查验，不得违反有关规定合同外采购、违价采购或从非规定渠道采购。</w:t>
      </w:r>
    </w:p>
    <w:p w14:paraId="3C17C6F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1DD7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四、严禁甲方工作人员利用任何途径和方式，为乙方统计医师个人及临床科室有关医药产品用量信息，或为乙方统计提供便利。</w:t>
      </w:r>
    </w:p>
    <w:p w14:paraId="06902F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五、乙方不得以回扣、宴请等方式影响甲方工作人员采购或使用医药产品的选择权，不得在学术活动中提供旅游、超标准支付食宿费用。</w:t>
      </w:r>
    </w:p>
    <w:p w14:paraId="6A4A07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指定_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19BFF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E0E09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八、本合同作为医药产品购销合同的重要组成部分，与购销合同一并执行，具有同等的法律效力。</w:t>
      </w:r>
    </w:p>
    <w:p w14:paraId="78E039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九、本合同一式三份，甲、乙双方各执一份，甲方纪检监察部门(基层医疗卫生机构上报上级卫生计生行政部门)执一份，并从签订之日起生效。</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44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03F28D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75246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277F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B2BF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570F1A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29A0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FCA5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57B5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0CF4B4A0"/>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51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02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4002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DA1">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9B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9B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33E"/>
    <w:rsid w:val="12E44DD1"/>
    <w:rsid w:val="2F0C6FBE"/>
    <w:rsid w:val="307D5859"/>
    <w:rsid w:val="32181F93"/>
    <w:rsid w:val="39A357ED"/>
    <w:rsid w:val="3EC56D7B"/>
    <w:rsid w:val="408F5741"/>
    <w:rsid w:val="432C0349"/>
    <w:rsid w:val="47973C55"/>
    <w:rsid w:val="4B8F1C98"/>
    <w:rsid w:val="4FC06CB6"/>
    <w:rsid w:val="6FB125F0"/>
    <w:rsid w:val="6FBE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autoSpaceDE/>
      <w:autoSpaceDN/>
      <w:snapToGrid w:val="0"/>
      <w:spacing w:line="360" w:lineRule="atLeast"/>
      <w:textAlignment w:val="baseline"/>
    </w:pPr>
    <w:rPr>
      <w:rFonts w:ascii="宋体" w:hAnsi="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sbk003</dc:creator>
  <cp:lastModifiedBy>郭伟国</cp:lastModifiedBy>
  <dcterms:modified xsi:type="dcterms:W3CDTF">2025-12-03T04:51:59Z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9F006809553344E1AB34954BDC7C1E2A_12</vt:lpwstr>
  </property>
</Properties>
</file>