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遴选需求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436"/>
        <w:gridCol w:w="1253"/>
        <w:gridCol w:w="2915"/>
        <w:gridCol w:w="709"/>
        <w:gridCol w:w="1060"/>
        <w:gridCol w:w="1272"/>
        <w:gridCol w:w="410"/>
      </w:tblGrid>
      <w:tr w14:paraId="0DB6F1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5" w:hRule="atLeas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D9E69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rPr>
            </w:pPr>
            <w:r>
              <w:rPr>
                <w:rFonts w:hint="eastAsia" w:ascii="微软雅黑" w:hAnsi="微软雅黑" w:eastAsia="微软雅黑" w:cs="微软雅黑"/>
                <w:i w:val="0"/>
                <w:iCs w:val="0"/>
                <w:caps w:val="0"/>
                <w:color w:val="333333"/>
                <w:spacing w:val="0"/>
                <w:sz w:val="20"/>
                <w:szCs w:val="20"/>
                <w:shd w:val="clear" w:fill="FFFFFF"/>
                <w:lang w:val="en-US" w:eastAsia="zh-CN"/>
              </w:rPr>
              <w:t>编号</w:t>
            </w:r>
          </w:p>
        </w:tc>
        <w:tc>
          <w:tcPr>
            <w:tcW w:w="12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9C6B7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rPr>
            </w:pPr>
            <w:r>
              <w:rPr>
                <w:rFonts w:hint="eastAsia" w:ascii="微软雅黑" w:hAnsi="微软雅黑" w:eastAsia="微软雅黑" w:cs="微软雅黑"/>
                <w:i w:val="0"/>
                <w:iCs w:val="0"/>
                <w:caps w:val="0"/>
                <w:color w:val="333333"/>
                <w:spacing w:val="0"/>
                <w:sz w:val="20"/>
                <w:szCs w:val="20"/>
                <w:shd w:val="clear" w:fill="FFFFFF"/>
                <w:lang w:val="en-US" w:eastAsia="zh-CN"/>
              </w:rPr>
              <w:t>遴选产品</w:t>
            </w:r>
          </w:p>
        </w:tc>
        <w:tc>
          <w:tcPr>
            <w:tcW w:w="298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5CF02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rPr>
            </w:pPr>
            <w:r>
              <w:rPr>
                <w:rFonts w:hint="eastAsia" w:ascii="微软雅黑" w:hAnsi="微软雅黑" w:eastAsia="微软雅黑" w:cs="微软雅黑"/>
                <w:i w:val="0"/>
                <w:iCs w:val="0"/>
                <w:caps w:val="0"/>
                <w:color w:val="333333"/>
                <w:spacing w:val="0"/>
                <w:sz w:val="20"/>
                <w:szCs w:val="20"/>
                <w:shd w:val="clear" w:fill="FFFFFF"/>
                <w:lang w:val="en-US" w:eastAsia="zh-CN"/>
              </w:rPr>
              <w:t>用途</w:t>
            </w:r>
          </w:p>
        </w:tc>
        <w:tc>
          <w:tcPr>
            <w:tcW w:w="7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75355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rPr>
            </w:pPr>
            <w:r>
              <w:rPr>
                <w:rFonts w:hint="eastAsia" w:ascii="微软雅黑" w:hAnsi="微软雅黑" w:eastAsia="微软雅黑" w:cs="微软雅黑"/>
                <w:i w:val="0"/>
                <w:iCs w:val="0"/>
                <w:caps w:val="0"/>
                <w:color w:val="333333"/>
                <w:spacing w:val="0"/>
                <w:sz w:val="20"/>
                <w:szCs w:val="20"/>
                <w:shd w:val="clear" w:fill="FFFFFF"/>
                <w:lang w:val="en-US" w:eastAsia="zh-CN"/>
              </w:rPr>
              <w:t>单位</w:t>
            </w:r>
          </w:p>
        </w:tc>
        <w:tc>
          <w:tcPr>
            <w:tcW w:w="10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55A0F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rPr>
            </w:pPr>
            <w:r>
              <w:rPr>
                <w:rFonts w:hint="eastAsia" w:ascii="微软雅黑" w:hAnsi="微软雅黑" w:eastAsia="微软雅黑" w:cs="微软雅黑"/>
                <w:i w:val="0"/>
                <w:iCs w:val="0"/>
                <w:caps w:val="0"/>
                <w:color w:val="333333"/>
                <w:spacing w:val="0"/>
                <w:sz w:val="20"/>
                <w:szCs w:val="20"/>
                <w:shd w:val="clear" w:fill="FFFFFF"/>
                <w:lang w:val="en-US" w:eastAsia="zh-CN"/>
              </w:rPr>
              <w:t>预计2年需求数量</w:t>
            </w:r>
          </w:p>
        </w:tc>
        <w:tc>
          <w:tcPr>
            <w:tcW w:w="12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00EBC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rPr>
            </w:pPr>
            <w:r>
              <w:rPr>
                <w:rFonts w:hint="eastAsia" w:ascii="微软雅黑" w:hAnsi="微软雅黑" w:eastAsia="微软雅黑" w:cs="微软雅黑"/>
                <w:i w:val="0"/>
                <w:iCs w:val="0"/>
                <w:caps w:val="0"/>
                <w:color w:val="333333"/>
                <w:spacing w:val="0"/>
                <w:sz w:val="20"/>
                <w:szCs w:val="20"/>
                <w:shd w:val="clear" w:fill="FFFFFF"/>
                <w:lang w:val="en-US" w:eastAsia="zh-CN"/>
              </w:rPr>
              <w:t>样品提供</w:t>
            </w: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58D67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lang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备注</w:t>
            </w:r>
          </w:p>
        </w:tc>
      </w:tr>
      <w:tr w14:paraId="0D2433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2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0BD97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2025-LX09-1</w:t>
            </w:r>
          </w:p>
        </w:tc>
        <w:tc>
          <w:tcPr>
            <w:tcW w:w="12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4B50E43">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20"/>
                <w:szCs w:val="20"/>
                <w:shd w:val="clear" w:fill="FFFFFF"/>
                <w:lang w:eastAsia="zh-CN"/>
              </w:rPr>
            </w:pPr>
            <w:r>
              <w:rPr>
                <w:rFonts w:hint="eastAsia" w:ascii="微软雅黑" w:hAnsi="微软雅黑" w:eastAsia="微软雅黑" w:cs="微软雅黑"/>
                <w:i w:val="0"/>
                <w:iCs w:val="0"/>
                <w:color w:val="606266"/>
                <w:kern w:val="0"/>
                <w:sz w:val="21"/>
                <w:szCs w:val="21"/>
                <w:u w:val="none"/>
                <w:lang w:val="en-US" w:eastAsia="zh-CN" w:bidi="ar"/>
              </w:rPr>
              <w:t>注射用透明质酸钠复合溶液</w:t>
            </w:r>
          </w:p>
        </w:tc>
        <w:tc>
          <w:tcPr>
            <w:tcW w:w="298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C39A88E">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20"/>
                <w:szCs w:val="20"/>
                <w:shd w:val="clear" w:fill="FFFFFF"/>
              </w:rPr>
            </w:pPr>
            <w:r>
              <w:rPr>
                <w:rFonts w:hint="eastAsia" w:ascii="微软雅黑" w:hAnsi="微软雅黑" w:eastAsia="微软雅黑" w:cs="微软雅黑"/>
                <w:i w:val="0"/>
                <w:iCs w:val="0"/>
                <w:color w:val="606266"/>
                <w:kern w:val="0"/>
                <w:sz w:val="21"/>
                <w:szCs w:val="21"/>
                <w:u w:val="none"/>
                <w:lang w:val="en-US" w:eastAsia="zh-CN" w:bidi="ar"/>
              </w:rPr>
              <w:t>该产品用于皮内真皮层注射填充，以纠正颈部中重度皱纹。</w:t>
            </w:r>
          </w:p>
        </w:tc>
        <w:tc>
          <w:tcPr>
            <w:tcW w:w="7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D025A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lang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瓶</w:t>
            </w:r>
          </w:p>
        </w:tc>
        <w:tc>
          <w:tcPr>
            <w:tcW w:w="10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C4FF9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720</w:t>
            </w:r>
          </w:p>
        </w:tc>
        <w:tc>
          <w:tcPr>
            <w:tcW w:w="12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0EFAC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rPr>
            </w:pPr>
            <w:r>
              <w:rPr>
                <w:rFonts w:ascii="微软雅黑" w:hAnsi="微软雅黑" w:eastAsia="微软雅黑" w:cs="微软雅黑"/>
                <w:i w:val="0"/>
                <w:iCs w:val="0"/>
                <w:caps w:val="0"/>
                <w:color w:val="333333"/>
                <w:spacing w:val="0"/>
                <w:sz w:val="20"/>
                <w:szCs w:val="20"/>
                <w:shd w:val="clear" w:fill="FFFFFF"/>
              </w:rPr>
              <w:t>提交标书时提供</w:t>
            </w:r>
            <w:r>
              <w:rPr>
                <w:rFonts w:hint="eastAsia" w:ascii="微软雅黑" w:hAnsi="微软雅黑" w:eastAsia="微软雅黑" w:cs="微软雅黑"/>
                <w:i w:val="0"/>
                <w:iCs w:val="0"/>
                <w:caps w:val="0"/>
                <w:color w:val="333333"/>
                <w:spacing w:val="0"/>
                <w:sz w:val="20"/>
                <w:szCs w:val="20"/>
                <w:shd w:val="clear" w:fill="FFFFFF"/>
                <w:lang w:eastAsia="zh-CN"/>
              </w:rPr>
              <w:t>样品</w:t>
            </w:r>
            <w:r>
              <w:rPr>
                <w:rFonts w:ascii="微软雅黑" w:hAnsi="微软雅黑" w:eastAsia="微软雅黑" w:cs="微软雅黑"/>
                <w:i w:val="0"/>
                <w:iCs w:val="0"/>
                <w:caps w:val="0"/>
                <w:color w:val="333333"/>
                <w:spacing w:val="0"/>
                <w:sz w:val="20"/>
                <w:szCs w:val="20"/>
                <w:shd w:val="clear" w:fill="FFFFFF"/>
              </w:rPr>
              <w:t>；</w:t>
            </w: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5001F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20"/>
                <w:szCs w:val="20"/>
                <w:shd w:val="clear" w:fill="FFFFFF"/>
              </w:rPr>
            </w:pPr>
          </w:p>
        </w:tc>
      </w:tr>
      <w:tr w14:paraId="23298E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2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6C69A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2025-LX09-2</w:t>
            </w:r>
          </w:p>
        </w:tc>
        <w:tc>
          <w:tcPr>
            <w:tcW w:w="12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EC70619">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20"/>
                <w:szCs w:val="20"/>
                <w:shd w:val="clear" w:fill="FFFFFF"/>
                <w:lang w:eastAsia="zh-CN"/>
              </w:rPr>
            </w:pPr>
            <w:r>
              <w:rPr>
                <w:rFonts w:hint="eastAsia" w:ascii="微软雅黑" w:hAnsi="微软雅黑" w:eastAsia="微软雅黑" w:cs="微软雅黑"/>
                <w:i w:val="0"/>
                <w:iCs w:val="0"/>
                <w:color w:val="606266"/>
                <w:kern w:val="0"/>
                <w:sz w:val="21"/>
                <w:szCs w:val="21"/>
                <w:u w:val="none"/>
                <w:lang w:val="en-US" w:eastAsia="zh-CN" w:bidi="ar"/>
              </w:rPr>
              <w:t>注射用修饰透明质酸钠凝胶</w:t>
            </w:r>
          </w:p>
        </w:tc>
        <w:tc>
          <w:tcPr>
            <w:tcW w:w="298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1578765">
            <w:pPr>
              <w:keepNext w:val="0"/>
              <w:keepLines w:val="0"/>
              <w:widowControl/>
              <w:suppressLineNumbers w:val="0"/>
              <w:jc w:val="left"/>
              <w:textAlignment w:val="center"/>
              <w:rPr>
                <w:rFonts w:ascii="微软雅黑" w:hAnsi="微软雅黑" w:eastAsia="微软雅黑" w:cs="微软雅黑"/>
                <w:i w:val="0"/>
                <w:iCs w:val="0"/>
                <w:caps w:val="0"/>
                <w:color w:val="333333"/>
                <w:spacing w:val="0"/>
                <w:sz w:val="20"/>
                <w:szCs w:val="20"/>
                <w:shd w:val="clear" w:fill="FFFFFF"/>
              </w:rPr>
            </w:pPr>
            <w:r>
              <w:rPr>
                <w:rFonts w:hint="eastAsia" w:ascii="宋体" w:hAnsi="宋体" w:eastAsia="宋体" w:cs="宋体"/>
                <w:i w:val="0"/>
                <w:iCs w:val="0"/>
                <w:color w:val="000000"/>
                <w:kern w:val="0"/>
                <w:sz w:val="22"/>
                <w:szCs w:val="22"/>
                <w:u w:val="none"/>
                <w:lang w:val="en-US" w:eastAsia="zh-CN" w:bidi="ar"/>
              </w:rPr>
              <w:t>该产品适用于面部真皮组织中层至深层注射以纠正中重度鼻唇部皱纹。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该产品用于面部真皮组织浅层到中层注射以纠正静态额部皱纹。</w:t>
            </w:r>
          </w:p>
        </w:tc>
        <w:tc>
          <w:tcPr>
            <w:tcW w:w="7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EFEF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lang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支</w:t>
            </w:r>
          </w:p>
        </w:tc>
        <w:tc>
          <w:tcPr>
            <w:tcW w:w="10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55178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720</w:t>
            </w:r>
          </w:p>
        </w:tc>
        <w:tc>
          <w:tcPr>
            <w:tcW w:w="12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E516E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ascii="微软雅黑" w:hAnsi="微软雅黑" w:eastAsia="微软雅黑" w:cs="微软雅黑"/>
                <w:i w:val="0"/>
                <w:iCs w:val="0"/>
                <w:caps w:val="0"/>
                <w:color w:val="333333"/>
                <w:spacing w:val="0"/>
                <w:sz w:val="20"/>
                <w:szCs w:val="20"/>
                <w:shd w:val="clear" w:fill="FFFFFF"/>
              </w:rPr>
            </w:pPr>
            <w:r>
              <w:rPr>
                <w:rFonts w:ascii="微软雅黑" w:hAnsi="微软雅黑" w:eastAsia="微软雅黑" w:cs="微软雅黑"/>
                <w:i w:val="0"/>
                <w:iCs w:val="0"/>
                <w:caps w:val="0"/>
                <w:color w:val="333333"/>
                <w:spacing w:val="0"/>
                <w:sz w:val="20"/>
                <w:szCs w:val="20"/>
                <w:shd w:val="clear" w:fill="FFFFFF"/>
              </w:rPr>
              <w:t>提交标书时提供</w:t>
            </w:r>
            <w:r>
              <w:rPr>
                <w:rFonts w:hint="eastAsia" w:ascii="微软雅黑" w:hAnsi="微软雅黑" w:eastAsia="微软雅黑" w:cs="微软雅黑"/>
                <w:i w:val="0"/>
                <w:iCs w:val="0"/>
                <w:caps w:val="0"/>
                <w:color w:val="333333"/>
                <w:spacing w:val="0"/>
                <w:sz w:val="20"/>
                <w:szCs w:val="20"/>
                <w:shd w:val="clear" w:fill="FFFFFF"/>
                <w:lang w:eastAsia="zh-CN"/>
              </w:rPr>
              <w:t>样品</w:t>
            </w:r>
            <w:r>
              <w:rPr>
                <w:rFonts w:ascii="微软雅黑" w:hAnsi="微软雅黑" w:eastAsia="微软雅黑" w:cs="微软雅黑"/>
                <w:i w:val="0"/>
                <w:iCs w:val="0"/>
                <w:caps w:val="0"/>
                <w:color w:val="333333"/>
                <w:spacing w:val="0"/>
                <w:sz w:val="20"/>
                <w:szCs w:val="20"/>
                <w:shd w:val="clear" w:fill="FFFFFF"/>
              </w:rPr>
              <w:t>；</w:t>
            </w: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6500C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20"/>
                <w:szCs w:val="20"/>
                <w:shd w:val="clear" w:fill="FFFFFF"/>
              </w:rPr>
            </w:pPr>
          </w:p>
        </w:tc>
      </w:tr>
      <w:tr w14:paraId="7D88D9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2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F487C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2025-LX09-3</w:t>
            </w:r>
          </w:p>
        </w:tc>
        <w:tc>
          <w:tcPr>
            <w:tcW w:w="12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043767B">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20"/>
                <w:szCs w:val="20"/>
                <w:shd w:val="clear" w:fill="FFFFFF"/>
                <w:lang w:eastAsia="zh-CN"/>
              </w:rPr>
            </w:pPr>
            <w:r>
              <w:rPr>
                <w:rFonts w:hint="eastAsia" w:ascii="微软雅黑" w:hAnsi="微软雅黑" w:eastAsia="微软雅黑" w:cs="微软雅黑"/>
                <w:i w:val="0"/>
                <w:iCs w:val="0"/>
                <w:color w:val="606266"/>
                <w:kern w:val="0"/>
                <w:sz w:val="21"/>
                <w:szCs w:val="21"/>
                <w:u w:val="none"/>
                <w:lang w:val="en-US" w:eastAsia="zh-CN" w:bidi="ar"/>
              </w:rPr>
              <w:t>重组Ⅲ型人源化胶原蛋白冻干纤维</w:t>
            </w:r>
          </w:p>
        </w:tc>
        <w:tc>
          <w:tcPr>
            <w:tcW w:w="298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7CBE45A">
            <w:pPr>
              <w:keepNext w:val="0"/>
              <w:keepLines w:val="0"/>
              <w:widowControl/>
              <w:suppressLineNumbers w:val="0"/>
              <w:jc w:val="left"/>
              <w:textAlignment w:val="center"/>
              <w:rPr>
                <w:rFonts w:ascii="微软雅黑" w:hAnsi="微软雅黑" w:eastAsia="微软雅黑" w:cs="微软雅黑"/>
                <w:i w:val="0"/>
                <w:iCs w:val="0"/>
                <w:caps w:val="0"/>
                <w:color w:val="333333"/>
                <w:spacing w:val="0"/>
                <w:sz w:val="20"/>
                <w:szCs w:val="20"/>
                <w:shd w:val="clear" w:fill="FFFFFF"/>
              </w:rPr>
            </w:pPr>
            <w:r>
              <w:rPr>
                <w:rFonts w:hint="eastAsia" w:ascii="微软雅黑" w:hAnsi="微软雅黑" w:eastAsia="微软雅黑" w:cs="微软雅黑"/>
                <w:i w:val="0"/>
                <w:iCs w:val="0"/>
                <w:color w:val="606266"/>
                <w:kern w:val="0"/>
                <w:sz w:val="21"/>
                <w:szCs w:val="21"/>
                <w:u w:val="none"/>
                <w:lang w:val="en-US" w:eastAsia="zh-CN" w:bidi="ar"/>
              </w:rPr>
              <w:t>用于面部真皮组织填充以纠正额部动力性皱纹（包括眉间纹、额头纹和鱼尾纹）。</w:t>
            </w:r>
          </w:p>
        </w:tc>
        <w:tc>
          <w:tcPr>
            <w:tcW w:w="7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0E6BB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lang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瓶</w:t>
            </w:r>
          </w:p>
        </w:tc>
        <w:tc>
          <w:tcPr>
            <w:tcW w:w="10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2446E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720</w:t>
            </w:r>
          </w:p>
        </w:tc>
        <w:tc>
          <w:tcPr>
            <w:tcW w:w="12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A3CF5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ascii="微软雅黑" w:hAnsi="微软雅黑" w:eastAsia="微软雅黑" w:cs="微软雅黑"/>
                <w:i w:val="0"/>
                <w:iCs w:val="0"/>
                <w:caps w:val="0"/>
                <w:color w:val="333333"/>
                <w:spacing w:val="0"/>
                <w:sz w:val="20"/>
                <w:szCs w:val="20"/>
                <w:shd w:val="clear" w:fill="FFFFFF"/>
              </w:rPr>
            </w:pPr>
            <w:r>
              <w:rPr>
                <w:rFonts w:ascii="微软雅黑" w:hAnsi="微软雅黑" w:eastAsia="微软雅黑" w:cs="微软雅黑"/>
                <w:i w:val="0"/>
                <w:iCs w:val="0"/>
                <w:caps w:val="0"/>
                <w:color w:val="333333"/>
                <w:spacing w:val="0"/>
                <w:sz w:val="20"/>
                <w:szCs w:val="20"/>
                <w:shd w:val="clear" w:fill="FFFFFF"/>
              </w:rPr>
              <w:t>提交标书时提供</w:t>
            </w:r>
            <w:r>
              <w:rPr>
                <w:rFonts w:hint="eastAsia" w:ascii="微软雅黑" w:hAnsi="微软雅黑" w:eastAsia="微软雅黑" w:cs="微软雅黑"/>
                <w:i w:val="0"/>
                <w:iCs w:val="0"/>
                <w:caps w:val="0"/>
                <w:color w:val="333333"/>
                <w:spacing w:val="0"/>
                <w:sz w:val="20"/>
                <w:szCs w:val="20"/>
                <w:shd w:val="clear" w:fill="FFFFFF"/>
                <w:lang w:eastAsia="zh-CN"/>
              </w:rPr>
              <w:t>样品。</w:t>
            </w: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20F99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20"/>
                <w:szCs w:val="20"/>
                <w:shd w:val="clear" w:fill="FFFFFF"/>
              </w:rPr>
            </w:pPr>
          </w:p>
        </w:tc>
      </w:tr>
      <w:tr w14:paraId="58B078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2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B7CB7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2025-LX09-4</w:t>
            </w:r>
          </w:p>
        </w:tc>
        <w:tc>
          <w:tcPr>
            <w:tcW w:w="12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F41D86C">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20"/>
                <w:szCs w:val="20"/>
                <w:shd w:val="clear" w:fill="FFFFFF"/>
                <w:lang w:eastAsia="zh-CN"/>
              </w:rPr>
            </w:pPr>
            <w:r>
              <w:rPr>
                <w:rFonts w:hint="eastAsia" w:ascii="宋体" w:hAnsi="宋体" w:eastAsia="宋体" w:cs="宋体"/>
                <w:i w:val="0"/>
                <w:iCs w:val="0"/>
                <w:color w:val="000000"/>
                <w:kern w:val="0"/>
                <w:sz w:val="22"/>
                <w:szCs w:val="22"/>
                <w:u w:val="none"/>
                <w:lang w:val="en-US" w:eastAsia="zh-CN" w:bidi="ar"/>
              </w:rPr>
              <w:t>水杨酸医用护理包</w:t>
            </w:r>
          </w:p>
        </w:tc>
        <w:tc>
          <w:tcPr>
            <w:tcW w:w="298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4965186">
            <w:pPr>
              <w:keepNext w:val="0"/>
              <w:keepLines w:val="0"/>
              <w:widowControl/>
              <w:suppressLineNumbers w:val="0"/>
              <w:jc w:val="left"/>
              <w:textAlignment w:val="center"/>
              <w:rPr>
                <w:rFonts w:ascii="微软雅黑" w:hAnsi="微软雅黑" w:eastAsia="微软雅黑" w:cs="微软雅黑"/>
                <w:i w:val="0"/>
                <w:iCs w:val="0"/>
                <w:caps w:val="0"/>
                <w:color w:val="333333"/>
                <w:spacing w:val="0"/>
                <w:sz w:val="20"/>
                <w:szCs w:val="20"/>
                <w:shd w:val="clear" w:fill="FFFFFF"/>
              </w:rPr>
            </w:pPr>
            <w:r>
              <w:rPr>
                <w:rFonts w:hint="eastAsia" w:ascii="宋体" w:hAnsi="宋体" w:eastAsia="宋体" w:cs="宋体"/>
                <w:i w:val="0"/>
                <w:iCs w:val="0"/>
                <w:color w:val="000000"/>
                <w:kern w:val="0"/>
                <w:sz w:val="22"/>
                <w:szCs w:val="22"/>
                <w:u w:val="none"/>
                <w:lang w:val="en-US" w:eastAsia="zh-CN" w:bidi="ar"/>
              </w:rPr>
              <w:t>(1)本产品为水杨酸，由医用棉签、棉片、医用检查手套组成。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(2)使用范围:适用于寻常痤疮、油性皮肤、玫瑰痤疮、敏感肌肤、黄褐斑、炎症性色沉、提亮均匀肤色。</w:t>
            </w:r>
          </w:p>
        </w:tc>
        <w:tc>
          <w:tcPr>
            <w:tcW w:w="7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80799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lang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套</w:t>
            </w:r>
          </w:p>
        </w:tc>
        <w:tc>
          <w:tcPr>
            <w:tcW w:w="10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3605F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2000</w:t>
            </w:r>
          </w:p>
        </w:tc>
        <w:tc>
          <w:tcPr>
            <w:tcW w:w="12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9B76D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ascii="微软雅黑" w:hAnsi="微软雅黑" w:eastAsia="微软雅黑" w:cs="微软雅黑"/>
                <w:i w:val="0"/>
                <w:iCs w:val="0"/>
                <w:caps w:val="0"/>
                <w:color w:val="333333"/>
                <w:spacing w:val="0"/>
                <w:sz w:val="20"/>
                <w:szCs w:val="20"/>
                <w:shd w:val="clear" w:fill="FFFFFF"/>
              </w:rPr>
            </w:pPr>
            <w:r>
              <w:rPr>
                <w:rFonts w:ascii="微软雅黑" w:hAnsi="微软雅黑" w:eastAsia="微软雅黑" w:cs="微软雅黑"/>
                <w:i w:val="0"/>
                <w:iCs w:val="0"/>
                <w:caps w:val="0"/>
                <w:color w:val="333333"/>
                <w:spacing w:val="0"/>
                <w:sz w:val="20"/>
                <w:szCs w:val="20"/>
                <w:shd w:val="clear" w:fill="FFFFFF"/>
              </w:rPr>
              <w:t>提交标书时提供</w:t>
            </w:r>
            <w:r>
              <w:rPr>
                <w:rFonts w:hint="eastAsia" w:ascii="微软雅黑" w:hAnsi="微软雅黑" w:eastAsia="微软雅黑" w:cs="微软雅黑"/>
                <w:i w:val="0"/>
                <w:iCs w:val="0"/>
                <w:caps w:val="0"/>
                <w:color w:val="333333"/>
                <w:spacing w:val="0"/>
                <w:sz w:val="20"/>
                <w:szCs w:val="20"/>
                <w:shd w:val="clear" w:fill="FFFFFF"/>
                <w:lang w:eastAsia="zh-CN"/>
              </w:rPr>
              <w:t>样品。</w:t>
            </w: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0029A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20"/>
                <w:szCs w:val="20"/>
                <w:shd w:val="clear" w:fill="FFFFFF"/>
              </w:rPr>
            </w:pP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二、基本技术参数或要求</w:t>
      </w:r>
    </w:p>
    <w:p w14:paraId="6EBD258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微软雅黑" w:hAnsi="微软雅黑" w:eastAsia="微软雅黑" w:cs="微软雅黑"/>
          <w:i w:val="0"/>
          <w:iCs w:val="0"/>
          <w:color w:val="606266"/>
          <w:kern w:val="0"/>
          <w:sz w:val="32"/>
          <w:szCs w:val="32"/>
          <w:u w:val="none"/>
          <w:lang w:val="en-US" w:eastAsia="zh-CN" w:bidi="ar"/>
        </w:rPr>
        <w:t>注射用透明质酸钠复合溶液</w:t>
      </w:r>
    </w:p>
    <w:p w14:paraId="6004D88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★1.适用于</w:t>
      </w:r>
      <w:r>
        <w:rPr>
          <w:rFonts w:hint="eastAsia" w:ascii="仿宋_GB2312" w:hAnsi="仿宋_GB2312" w:eastAsia="仿宋_GB2312" w:cs="仿宋_GB2312"/>
          <w:i w:val="0"/>
          <w:iCs w:val="0"/>
          <w:color w:val="606266"/>
          <w:kern w:val="0"/>
          <w:sz w:val="32"/>
          <w:szCs w:val="32"/>
          <w:u w:val="none"/>
          <w:lang w:val="en-US" w:eastAsia="zh-CN" w:bidi="ar"/>
        </w:rPr>
        <w:t>皮内真皮层注射填充，以纠正颈部中重度皱纹</w:t>
      </w:r>
      <w:r>
        <w:rPr>
          <w:rFonts w:hint="eastAsia" w:ascii="仿宋_GB2312" w:hAnsi="仿宋_GB2312" w:eastAsia="仿宋_GB2312" w:cs="仿宋_GB2312"/>
          <w:sz w:val="32"/>
          <w:szCs w:val="32"/>
          <w:lang w:val="en-US" w:eastAsia="zh-CN"/>
        </w:rPr>
        <w:t>。</w:t>
      </w:r>
    </w:p>
    <w:p w14:paraId="1FDA6A4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▲2.供应产品具备有效的医疗器械证件。</w:t>
      </w:r>
    </w:p>
    <w:p w14:paraId="5CEF9BF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olor w:val="606266"/>
          <w:kern w:val="0"/>
          <w:sz w:val="32"/>
          <w:szCs w:val="32"/>
          <w:u w:val="none"/>
          <w:lang w:val="en-US" w:eastAsia="zh-CN" w:bidi="ar"/>
        </w:rPr>
      </w:pPr>
      <w:r>
        <w:rPr>
          <w:rFonts w:hint="eastAsia" w:ascii="仿宋_GB2312" w:hAnsi="仿宋_GB2312" w:eastAsia="仿宋_GB2312" w:cs="仿宋_GB2312"/>
          <w:sz w:val="32"/>
          <w:szCs w:val="32"/>
          <w:lang w:val="en-US" w:eastAsia="zh-CN"/>
        </w:rPr>
        <w:t>（二）</w:t>
      </w:r>
      <w:r>
        <w:rPr>
          <w:rFonts w:hint="eastAsia" w:ascii="仿宋" w:hAnsi="仿宋" w:eastAsia="仿宋" w:cs="仿宋"/>
          <w:i w:val="0"/>
          <w:iCs w:val="0"/>
          <w:color w:val="606266"/>
          <w:kern w:val="0"/>
          <w:sz w:val="32"/>
          <w:szCs w:val="32"/>
          <w:u w:val="none"/>
          <w:lang w:val="en-US" w:eastAsia="zh-CN" w:bidi="ar"/>
        </w:rPr>
        <w:t>注射用修饰透明质酸钠凝胶</w:t>
      </w:r>
    </w:p>
    <w:p w14:paraId="5BA0CCC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olor w:val="000000"/>
          <w:kern w:val="0"/>
          <w:sz w:val="32"/>
          <w:szCs w:val="32"/>
          <w:u w:val="none"/>
          <w:lang w:val="en-US" w:eastAsia="zh-CN" w:bidi="ar"/>
        </w:rPr>
      </w:pPr>
      <w:r>
        <w:rPr>
          <w:rFonts w:hint="eastAsia" w:ascii="仿宋_GB2312" w:hAnsi="仿宋_GB2312" w:eastAsia="仿宋_GB2312" w:cs="仿宋_GB2312"/>
          <w:sz w:val="32"/>
          <w:szCs w:val="32"/>
          <w:lang w:val="en-US" w:eastAsia="zh-CN"/>
        </w:rPr>
        <w:t>★1.</w:t>
      </w:r>
      <w:r>
        <w:rPr>
          <w:rFonts w:hint="eastAsia" w:ascii="仿宋" w:hAnsi="仿宋" w:eastAsia="仿宋" w:cs="仿宋"/>
          <w:i w:val="0"/>
          <w:iCs w:val="0"/>
          <w:color w:val="000000"/>
          <w:kern w:val="0"/>
          <w:sz w:val="32"/>
          <w:szCs w:val="32"/>
          <w:u w:val="none"/>
          <w:lang w:val="en-US" w:eastAsia="zh-CN" w:bidi="ar"/>
        </w:rPr>
        <w:t>适用于面部真皮组织中层至深层注射以纠正中重度鼻唇部皱纹。适用于面部真皮组织浅层到中层注射以纠正静态额部皱纹。</w:t>
      </w:r>
    </w:p>
    <w:p w14:paraId="79480E2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2.供应产品具备有效的医疗器械证件。</w:t>
      </w:r>
    </w:p>
    <w:p w14:paraId="27253FD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 w:hAnsi="仿宋" w:eastAsia="仿宋" w:cs="仿宋"/>
          <w:i w:val="0"/>
          <w:iCs w:val="0"/>
          <w:color w:val="606266"/>
          <w:kern w:val="0"/>
          <w:sz w:val="32"/>
          <w:szCs w:val="32"/>
          <w:u w:val="none"/>
          <w:lang w:val="en-US" w:eastAsia="zh-CN" w:bidi="ar"/>
        </w:rPr>
        <w:t>重组Ⅲ型人源化胶原蛋白冻干纤维</w:t>
      </w:r>
    </w:p>
    <w:p w14:paraId="344A939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i w:val="0"/>
          <w:iCs w:val="0"/>
          <w:color w:val="606266"/>
          <w:kern w:val="0"/>
          <w:sz w:val="32"/>
          <w:szCs w:val="32"/>
          <w:u w:val="none"/>
          <w:lang w:val="en-US" w:eastAsia="zh-CN" w:bidi="ar"/>
        </w:rPr>
        <w:t>用于面部真皮组织填充以纠正额部动力性皱纹（包括眉间纹、额头纹和鱼尾纹）。</w:t>
      </w:r>
    </w:p>
    <w:p w14:paraId="5C6B85A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2.供应产品具备有效的医疗器械证。</w:t>
      </w:r>
    </w:p>
    <w:p w14:paraId="4798E65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i w:val="0"/>
          <w:iCs w:val="0"/>
          <w:color w:val="000000"/>
          <w:kern w:val="0"/>
          <w:sz w:val="32"/>
          <w:szCs w:val="32"/>
          <w:u w:val="none"/>
          <w:lang w:val="en-US" w:eastAsia="zh-CN" w:bidi="ar"/>
        </w:rPr>
        <w:t>水杨酸医用护理包</w:t>
      </w:r>
    </w:p>
    <w:p w14:paraId="0814B44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i w:val="0"/>
          <w:iCs w:val="0"/>
          <w:color w:val="000000"/>
          <w:kern w:val="0"/>
          <w:sz w:val="32"/>
          <w:szCs w:val="32"/>
          <w:u w:val="none"/>
          <w:lang w:val="en-US" w:eastAsia="zh-CN" w:bidi="ar"/>
        </w:rPr>
        <w:t>(1)本产品为水杨酸，由医用棉签、棉片、医用检查手套组成。</w:t>
      </w:r>
      <w:r>
        <w:rPr>
          <w:rFonts w:hint="eastAsia" w:ascii="仿宋" w:hAnsi="仿宋" w:eastAsia="仿宋" w:cs="仿宋"/>
          <w:i w:val="0"/>
          <w:iCs w:val="0"/>
          <w:color w:val="000000"/>
          <w:kern w:val="0"/>
          <w:sz w:val="32"/>
          <w:szCs w:val="32"/>
          <w:u w:val="none"/>
          <w:lang w:val="en-US" w:eastAsia="zh-CN" w:bidi="ar"/>
        </w:rPr>
        <w:br w:type="textWrapping"/>
      </w:r>
      <w:r>
        <w:rPr>
          <w:rFonts w:hint="eastAsia" w:ascii="仿宋" w:hAnsi="仿宋" w:eastAsia="仿宋" w:cs="仿宋"/>
          <w:i w:val="0"/>
          <w:iCs w:val="0"/>
          <w:color w:val="000000"/>
          <w:kern w:val="0"/>
          <w:sz w:val="32"/>
          <w:szCs w:val="32"/>
          <w:u w:val="none"/>
          <w:lang w:val="en-US" w:eastAsia="zh-CN" w:bidi="ar"/>
        </w:rPr>
        <w:t>(2)使用范围:适用于寻常痤疮、油性皮肤、玫瑰痤疮、敏感肌肤、黄褐斑、炎症性色沉、提亮均匀肤色。</w:t>
      </w:r>
    </w:p>
    <w:p w14:paraId="4324801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2.供应产品具备有效的医疗器械证件。</w:t>
      </w:r>
    </w:p>
    <w:p w14:paraId="53FDE3F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cs="仿宋_GB2312" w:eastAsiaTheme="minorEastAsia"/>
          <w:sz w:val="32"/>
          <w:szCs w:val="32"/>
          <w:lang w:eastAsia="zh-CN"/>
        </w:rPr>
      </w:pP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296E15BE">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商务要求</w:t>
      </w:r>
    </w:p>
    <w:p w14:paraId="67DF8D4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val="en-US" w:eastAsia="zh-CN"/>
        </w:rPr>
      </w:pPr>
      <w:r>
        <w:rPr>
          <w:rFonts w:hint="eastAsia" w:ascii="楷体_GB2312" w:eastAsia="楷体_GB2312"/>
          <w:b/>
          <w:sz w:val="32"/>
          <w:szCs w:val="32"/>
          <w:lang w:val="en-US" w:eastAsia="zh-CN"/>
        </w:rPr>
        <w:t>（一）销售业绩及采购实施</w:t>
      </w:r>
    </w:p>
    <w:p w14:paraId="787F063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★1、成交价格在招采平台能签订合同并生效。</w:t>
      </w:r>
    </w:p>
    <w:p w14:paraId="59AE601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2.销售业绩情况：产品一年内有销售记录，并提供相应材料。</w:t>
      </w:r>
    </w:p>
    <w:p w14:paraId="58C144F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（二）</w:t>
      </w:r>
      <w:r>
        <w:rPr>
          <w:rFonts w:hint="eastAsia" w:ascii="楷体_GB2312" w:eastAsia="楷体_GB2312"/>
          <w:b/>
          <w:sz w:val="32"/>
          <w:szCs w:val="32"/>
        </w:rPr>
        <w:t>供货</w:t>
      </w:r>
      <w:r>
        <w:rPr>
          <w:rFonts w:hint="eastAsia" w:ascii="楷体_GB2312" w:eastAsia="楷体_GB2312"/>
          <w:b/>
          <w:sz w:val="32"/>
          <w:szCs w:val="32"/>
          <w:lang w:eastAsia="zh-CN"/>
        </w:rPr>
        <w:t>能力。</w:t>
      </w:r>
    </w:p>
    <w:p w14:paraId="465544F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1、货物送达地点：台山市妇幼保健院</w:t>
      </w:r>
    </w:p>
    <w:p w14:paraId="153844A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2、中选供应商按响应条件及承诺的服务项目，在通知交货时间内按采购人的要求免费送货上门、送货前事先通知采购人，并提供免费卸货服务。</w:t>
      </w:r>
    </w:p>
    <w:p w14:paraId="74A8FF2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3、中选供应商应当采取有效措施确保投标产品的规格、性能、校对等符合国家标准、行业标准等质量的管理规定要求，保障投标产品的质量。</w:t>
      </w:r>
    </w:p>
    <w:p w14:paraId="22E577D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4、供货期间，中选供应商须确保三证齐全、证照符合国家、省、市各级管理部门要求，并具备有效期内的产品代理授权书。</w:t>
      </w:r>
    </w:p>
    <w:p w14:paraId="14D82F0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5、中选供应商所提供的耗材必须是原装正品，如发现有假冒产品，采购人有权终止合同，并将假冒产品全部退回。</w:t>
      </w:r>
    </w:p>
    <w:p w14:paraId="55DB73B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6、中选供应商应保证按投标响应条件及承诺提供供货服务和相应售后服务，如出现使用、包装等方面的问题，投标人须无条件给予退换；承诺无条件退换破损和近效期产品。</w:t>
      </w:r>
    </w:p>
    <w:p w14:paraId="4862022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7、中选供应商应当设定服务专线，及时响应采购人的要求，并提供免费上门服务。</w:t>
      </w:r>
    </w:p>
    <w:p w14:paraId="678A443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w:t>
      </w:r>
    </w:p>
    <w:p w14:paraId="2EECB0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1.及时响应售后需求。</w:t>
      </w:r>
    </w:p>
    <w:p w14:paraId="49ABA8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售后服务承诺</w:t>
      </w:r>
      <w:r>
        <w:rPr>
          <w:rFonts w:hint="eastAsia" w:ascii="仿宋_GB2312" w:hAnsi="仿宋_GB2312" w:eastAsia="仿宋_GB2312" w:cs="仿宋_GB2312"/>
          <w:sz w:val="32"/>
          <w:szCs w:val="32"/>
          <w:lang w:eastAsia="zh-CN"/>
        </w:rPr>
        <w:t>。</w:t>
      </w:r>
    </w:p>
    <w:p w14:paraId="3D8E2F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四、其他要求</w:t>
      </w:r>
    </w:p>
    <w:p w14:paraId="718265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（一）付款方式。</w:t>
      </w:r>
      <w:r>
        <w:rPr>
          <w:rFonts w:hint="eastAsia" w:ascii="仿宋_GB2312" w:hAnsi="仿宋_GB2312" w:eastAsia="仿宋_GB2312" w:cs="仿宋_GB2312"/>
          <w:color w:val="FF0000"/>
          <w:sz w:val="32"/>
          <w:szCs w:val="32"/>
          <w:lang w:val="en-US" w:eastAsia="zh-CN"/>
        </w:rPr>
        <w:t>当月20日前院方接收到中选供应商提供有效发票后，从下个月视为第一个月、院方在第12个月月末支付采购费用；当月20日后院方接收到有效发票则延后一个月支付货款，即第13个月月末支付采购费用。</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536B5F30">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val="en-US" w:eastAsia="zh-CN"/>
        </w:rPr>
        <w:t>2025</w:t>
      </w:r>
      <w:r>
        <w:rPr>
          <w:rFonts w:hint="eastAsia" w:ascii="仿宋_GB2312" w:eastAsia="仿宋_GB2312"/>
          <w:color w:val="FF0000"/>
          <w:sz w:val="34"/>
          <w:szCs w:val="34"/>
          <w:lang w:eastAsia="zh-CN"/>
        </w:rPr>
        <w:t>年</w:t>
      </w:r>
      <w:r>
        <w:rPr>
          <w:rFonts w:hint="eastAsia" w:ascii="仿宋_GB2312" w:eastAsia="仿宋_GB2312"/>
          <w:color w:val="FF0000"/>
          <w:sz w:val="34"/>
          <w:szCs w:val="34"/>
          <w:lang w:val="en-US" w:eastAsia="zh-CN"/>
        </w:rPr>
        <w:t>12</w:t>
      </w:r>
      <w:r>
        <w:rPr>
          <w:rFonts w:hint="eastAsia" w:ascii="仿宋_GB2312" w:eastAsia="仿宋_GB2312"/>
          <w:color w:val="FF0000"/>
          <w:sz w:val="34"/>
          <w:szCs w:val="34"/>
          <w:lang w:eastAsia="zh-CN"/>
        </w:rPr>
        <w:t>月</w:t>
      </w:r>
      <w:r>
        <w:rPr>
          <w:rFonts w:hint="eastAsia" w:ascii="仿宋_GB2312" w:eastAsia="仿宋_GB2312"/>
          <w:color w:val="FF0000"/>
          <w:sz w:val="34"/>
          <w:szCs w:val="34"/>
          <w:lang w:val="en-US" w:eastAsia="zh-CN"/>
        </w:rPr>
        <w:t>02</w:t>
      </w:r>
      <w:bookmarkStart w:id="0" w:name="_GoBack"/>
      <w:bookmarkEnd w:id="0"/>
      <w:r>
        <w:rPr>
          <w:rFonts w:hint="eastAsia" w:ascii="仿宋_GB2312" w:eastAsia="仿宋_GB2312"/>
          <w:color w:val="FF0000"/>
          <w:sz w:val="34"/>
          <w:szCs w:val="34"/>
          <w:lang w:eastAsia="zh-CN"/>
        </w:rPr>
        <w:t>日</w:t>
      </w:r>
    </w:p>
    <w:p w14:paraId="227855F3"/>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2BB3A"/>
    <w:multiLevelType w:val="singleLevel"/>
    <w:tmpl w:val="8912BB3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77F4F"/>
    <w:rsid w:val="0707553A"/>
    <w:rsid w:val="08B76B33"/>
    <w:rsid w:val="13D82037"/>
    <w:rsid w:val="19FD0506"/>
    <w:rsid w:val="1B9F19F5"/>
    <w:rsid w:val="1C4921BB"/>
    <w:rsid w:val="20074B9B"/>
    <w:rsid w:val="20CA6C93"/>
    <w:rsid w:val="37B35610"/>
    <w:rsid w:val="39970E7B"/>
    <w:rsid w:val="39C009B5"/>
    <w:rsid w:val="467A2133"/>
    <w:rsid w:val="491A3290"/>
    <w:rsid w:val="4F5F0947"/>
    <w:rsid w:val="5B214F2E"/>
    <w:rsid w:val="6EBE7E2E"/>
    <w:rsid w:val="710C1C54"/>
    <w:rsid w:val="7E38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2025-02-10T01:39:00Z</dcterms:created>
  <dc:creator>sbk003</dc:creator>
  <cp:lastModifiedBy>郭伟国</cp:lastModifiedBy>
  <cp:lastPrinted>2025-02-10T01:57:00Z</cp:lastPrinted>
  <dcterms:modified xsi:type="dcterms:W3CDTF">2025-12-02T08:37:44Z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173933319AF243A089E15E24F9A4FA47_12</vt:lpwstr>
  </property>
</Properties>
</file>