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体腔热灌注治疗机技术参数</w:t>
      </w:r>
    </w:p>
    <w:bookmarkEnd w:id="0"/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  <w:lang w:val="en-US" w:eastAsia="uk-UA"/>
        </w:rPr>
      </w:pPr>
      <w:r>
        <w:rPr>
          <w:rFonts w:eastAsia="宋体"/>
          <w:sz w:val="32"/>
          <w:szCs w:val="32"/>
          <w:lang w:val="en-US" w:eastAsia="uk-UA"/>
        </w:rPr>
        <w:t>1、设备用途及工作条件：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▲1.1设备用途：用于胸腔、腹腔的连续热灌注治疗；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1.2工作条件：电源220VAC±10%，功率1500VA以内。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2、技术规格与性能要求：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2.1探头：防水封装，热响应时间短、动态误差小，测温精度可达±0.1℃。夹钳式设计流量传感器，非接触式超声波测速，测速精度可达±0.1%ofF.S.；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2.1.1≤1500W功率加热，热效率高，水电分离，无漏电风险；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2.1.2 采用相互隔离的循环，机身底座2个单独隔离放置过滤袋放置箱，内置悬挂钩，外旁置红色急停开关；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2.1.3升温过程平稳，迅速，安全，全程无辐射或其他有害物质释放，保证在场医护人员及病人的身体健康；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2.2 泵头与钢材质泵体分体式设计，灌注液与泵体分离，仅与泵头接触，泵头盖整体一进一出设计，避免了交叉感染；≥18寸显示屏幕，≥1920*1080p；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2.3具备专用一次性无菌管道，过滤袋容量≥3000ML；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2.4.同一界面显示治疗部位，人物详细图介绍，出体温度，入体温度，实时流量，罐液温度，热疗温度，热疗时间，循环流量。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2.5.治疗中可以修改温度和流速，流量精度±5%；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2.6.完善的安全保护功能；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2.7具备多路温度传感器，可实现多点精确控温，能实时监测治疗温度和患者主要部位温度。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▲3、耗材入医保。</w:t>
      </w:r>
      <w:r>
        <w:rPr>
          <w:sz w:val="32"/>
          <w:szCs w:val="32"/>
          <w:lang w:val="en-US" w:eastAsia="uk-UA"/>
        </w:rPr>
        <w:br w:type="textWrapping" w:clear="none"/>
      </w:r>
      <w:r>
        <w:rPr>
          <w:rFonts w:eastAsia="宋体"/>
          <w:sz w:val="32"/>
          <w:szCs w:val="32"/>
          <w:lang w:val="en-US" w:eastAsia="uk-UA"/>
        </w:rPr>
        <w:t>注：带“▲”为重要参数，须提供产品白皮书、产品说明书、产品彩页、产品铭牌、检验检测报告等任意一项佐证材料（并加盖投标人公章），未提供视为不满足（即负偏离）如有负偏离扣分情况详见“评标细则及标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777F"/>
    <w:rsid w:val="103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648</Characters>
  <Lines>0</Lines>
  <Paragraphs>0</Paragraphs>
  <TotalTime>9</TotalTime>
  <ScaleCrop>false</ScaleCrop>
  <LinksUpToDate>false</LinksUpToDate>
  <CharactersWithSpaces>650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2025-09-24T00:38:00Z</dcterms:created>
  <dc:creator>Administrator</dc:creator>
  <cp:lastModifiedBy>Administrator</cp:lastModifiedBy>
  <dcterms:modified xsi:type="dcterms:W3CDTF">2025-09-24T00:55:44Z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7203A9B8451B444F884A71F795E639F5</vt:lpwstr>
  </property>
</Properties>
</file>