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遴选需求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36"/>
        <w:gridCol w:w="1253"/>
        <w:gridCol w:w="2915"/>
        <w:gridCol w:w="709"/>
        <w:gridCol w:w="1060"/>
        <w:gridCol w:w="1272"/>
        <w:gridCol w:w="410"/>
      </w:tblGrid>
      <w:tr w14:paraId="0DB6F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9E6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编号</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C6B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遴选产品</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CF0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用途</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535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单位</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5A0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预计2年需求数量</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0E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样品提供</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58D6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备注</w:t>
            </w:r>
          </w:p>
        </w:tc>
      </w:tr>
      <w:tr w14:paraId="0D2433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BD9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2025-LX09-1</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B50E43">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注射用透明质酸钠复合溶液</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39A88E">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olor w:val="606266"/>
                <w:kern w:val="0"/>
                <w:sz w:val="21"/>
                <w:szCs w:val="21"/>
                <w:u w:val="none"/>
                <w:lang w:val="en-US" w:eastAsia="zh-CN" w:bidi="ar"/>
              </w:rPr>
              <w:t>该产品用于皮内真皮层注射填充，以纠正颈部中重度皱纹。</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025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瓶</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4FF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EFA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r>
              <w:rPr>
                <w:rFonts w:ascii="微软雅黑" w:hAnsi="微软雅黑" w:eastAsia="微软雅黑" w:cs="微软雅黑"/>
                <w:i w:val="0"/>
                <w:iCs w:val="0"/>
                <w:caps w:val="0"/>
                <w:color w:val="333333"/>
                <w:spacing w:val="0"/>
                <w:sz w:val="20"/>
                <w:szCs w:val="20"/>
                <w:shd w:val="clear" w:fill="FFFFFF"/>
              </w:rPr>
              <w:t>；</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001F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23298E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C69A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2025-LX09-2</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C70619">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注射用修饰透明质酸钠凝胶</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578765">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宋体" w:hAnsi="宋体" w:eastAsia="宋体" w:cs="宋体"/>
                <w:i w:val="0"/>
                <w:iCs w:val="0"/>
                <w:color w:val="000000"/>
                <w:kern w:val="0"/>
                <w:sz w:val="22"/>
                <w:szCs w:val="22"/>
                <w:u w:val="none"/>
                <w:lang w:val="en-US" w:eastAsia="zh-CN" w:bidi="ar"/>
              </w:rPr>
              <w:t>该产品适用于面部真皮组织中层至深层注射以纠正中重度鼻唇部皱纹。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该产品用于面部真皮组织浅层到中层注射以纠正静态额部皱纹。</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FEF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支</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517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516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r>
              <w:rPr>
                <w:rFonts w:ascii="微软雅黑" w:hAnsi="微软雅黑" w:eastAsia="微软雅黑" w:cs="微软雅黑"/>
                <w:i w:val="0"/>
                <w:iCs w:val="0"/>
                <w:caps w:val="0"/>
                <w:color w:val="333333"/>
                <w:spacing w:val="0"/>
                <w:sz w:val="20"/>
                <w:szCs w:val="20"/>
                <w:shd w:val="clear" w:fill="FFFFFF"/>
              </w:rPr>
              <w:t>；</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500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7D88D9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487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2025-LX09-3</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43767B">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重组Ⅲ型人源化胶原蛋白冻干纤维</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7CBE45A">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olor w:val="606266"/>
                <w:kern w:val="0"/>
                <w:sz w:val="21"/>
                <w:szCs w:val="21"/>
                <w:u w:val="none"/>
                <w:lang w:val="en-US" w:eastAsia="zh-CN" w:bidi="ar"/>
              </w:rPr>
              <w:t>用于面部真皮组织填充以纠正额部动力性皱纹（包括眉间纹、额头纹和鱼尾纹</w:t>
            </w:r>
            <w:bookmarkStart w:id="0" w:name="_GoBack"/>
            <w:r>
              <w:rPr>
                <w:rFonts w:hint="eastAsia" w:ascii="微软雅黑" w:hAnsi="微软雅黑" w:eastAsia="微软雅黑" w:cs="微软雅黑"/>
                <w:i w:val="0"/>
                <w:iCs w:val="0"/>
                <w:color w:val="606266"/>
                <w:kern w:val="0"/>
                <w:sz w:val="21"/>
                <w:szCs w:val="21"/>
                <w:u w:val="none"/>
                <w:lang w:val="en-US" w:eastAsia="zh-CN" w:bidi="ar"/>
              </w:rPr>
              <w:t>）</w:t>
            </w:r>
            <w:bookmarkEnd w:id="0"/>
            <w:r>
              <w:rPr>
                <w:rFonts w:hint="eastAsia" w:ascii="微软雅黑" w:hAnsi="微软雅黑" w:eastAsia="微软雅黑" w:cs="微软雅黑"/>
                <w:i w:val="0"/>
                <w:iCs w:val="0"/>
                <w:color w:val="606266"/>
                <w:kern w:val="0"/>
                <w:sz w:val="21"/>
                <w:szCs w:val="21"/>
                <w:u w:val="none"/>
                <w:lang w:val="en-US" w:eastAsia="zh-CN" w:bidi="ar"/>
              </w:rPr>
              <w:t>。</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0E6BB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瓶</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446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3CF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0F99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8B078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7CB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2025-LX09-4</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41D86C">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宋体" w:hAnsi="宋体" w:eastAsia="宋体" w:cs="宋体"/>
                <w:i w:val="0"/>
                <w:iCs w:val="0"/>
                <w:color w:val="000000"/>
                <w:kern w:val="0"/>
                <w:sz w:val="22"/>
                <w:szCs w:val="22"/>
                <w:u w:val="none"/>
                <w:lang w:val="en-US" w:eastAsia="zh-CN" w:bidi="ar"/>
              </w:rPr>
              <w:t>水杨酸医用护理包</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965186">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宋体" w:hAnsi="宋体" w:eastAsia="宋体" w:cs="宋体"/>
                <w:i w:val="0"/>
                <w:iCs w:val="0"/>
                <w:color w:val="000000"/>
                <w:kern w:val="0"/>
                <w:sz w:val="22"/>
                <w:szCs w:val="22"/>
                <w:u w:val="none"/>
                <w:lang w:val="en-US" w:eastAsia="zh-CN" w:bidi="ar"/>
              </w:rPr>
              <w:t>(1)本产品为水杨酸，由医用棉签、棉片、医用检查手套组成。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(2)使用范围:适用于寻常痤疮、油性皮肤、玫瑰痤疮、敏感肌肤、黄褐斑、炎症性色沉、提亮均匀肤色。</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079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套</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605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2000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B76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029A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微软雅黑" w:hAnsi="微软雅黑" w:eastAsia="微软雅黑" w:cs="微软雅黑"/>
          <w:i w:val="0"/>
          <w:iCs w:val="0"/>
          <w:color w:val="606266"/>
          <w:kern w:val="0"/>
          <w:sz w:val="32"/>
          <w:szCs w:val="32"/>
          <w:u w:val="none"/>
          <w:lang w:val="en-US" w:eastAsia="zh-CN" w:bidi="ar"/>
        </w:rPr>
        <w:t>注射用透明质酸钠复合溶液</w:t>
      </w:r>
    </w:p>
    <w:p w14:paraId="6004D8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w:t>
      </w:r>
      <w:r>
        <w:rPr>
          <w:rFonts w:hint="eastAsia" w:ascii="仿宋_GB2312" w:hAnsi="仿宋_GB2312" w:eastAsia="仿宋_GB2312" w:cs="仿宋_GB2312"/>
          <w:i w:val="0"/>
          <w:iCs w:val="0"/>
          <w:color w:val="606266"/>
          <w:kern w:val="0"/>
          <w:sz w:val="32"/>
          <w:szCs w:val="32"/>
          <w:u w:val="none"/>
          <w:lang w:val="en-US" w:eastAsia="zh-CN" w:bidi="ar"/>
        </w:rPr>
        <w:t>皮内真皮层注射填充，以纠正颈部中重度皱纹</w:t>
      </w:r>
      <w:r>
        <w:rPr>
          <w:rFonts w:hint="eastAsia" w:ascii="仿宋_GB2312" w:hAnsi="仿宋_GB2312" w:eastAsia="仿宋_GB2312" w:cs="仿宋_GB2312"/>
          <w:sz w:val="32"/>
          <w:szCs w:val="32"/>
          <w:lang w:val="en-US" w:eastAsia="zh-CN"/>
        </w:rPr>
        <w:t>。</w:t>
      </w:r>
    </w:p>
    <w:p w14:paraId="1FDA6A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5CEF9B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606266"/>
          <w:kern w:val="0"/>
          <w:sz w:val="32"/>
          <w:szCs w:val="32"/>
          <w:u w:val="none"/>
          <w:lang w:val="en-US" w:eastAsia="zh-CN" w:bidi="ar"/>
        </w:rPr>
      </w:pPr>
      <w:r>
        <w:rPr>
          <w:rFonts w:hint="eastAsia" w:ascii="仿宋_GB2312" w:hAnsi="仿宋_GB2312" w:eastAsia="仿宋_GB2312" w:cs="仿宋_GB2312"/>
          <w:sz w:val="32"/>
          <w:szCs w:val="32"/>
          <w:lang w:val="en-US" w:eastAsia="zh-CN"/>
        </w:rPr>
        <w:t>（二）</w:t>
      </w:r>
      <w:r>
        <w:rPr>
          <w:rFonts w:hint="eastAsia" w:ascii="仿宋" w:hAnsi="仿宋" w:eastAsia="仿宋" w:cs="仿宋"/>
          <w:i w:val="0"/>
          <w:iCs w:val="0"/>
          <w:color w:val="606266"/>
          <w:kern w:val="0"/>
          <w:sz w:val="32"/>
          <w:szCs w:val="32"/>
          <w:u w:val="none"/>
          <w:lang w:val="en-US" w:eastAsia="zh-CN" w:bidi="ar"/>
        </w:rPr>
        <w:t>注射用修饰透明质酸钠凝胶</w:t>
      </w:r>
    </w:p>
    <w:p w14:paraId="5BA0CC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★1.</w:t>
      </w:r>
      <w:r>
        <w:rPr>
          <w:rFonts w:hint="eastAsia" w:ascii="仿宋" w:hAnsi="仿宋" w:eastAsia="仿宋" w:cs="仿宋"/>
          <w:i w:val="0"/>
          <w:iCs w:val="0"/>
          <w:color w:val="000000"/>
          <w:kern w:val="0"/>
          <w:sz w:val="32"/>
          <w:szCs w:val="32"/>
          <w:u w:val="none"/>
          <w:lang w:val="en-US" w:eastAsia="zh-CN" w:bidi="ar"/>
        </w:rPr>
        <w:t>适用于面部真皮组织中层至深层注射以纠正中重度鼻唇部皱纹。适用于面部真皮组织浅层到中层注射以纠正静态额部皱纹。</w:t>
      </w:r>
    </w:p>
    <w:p w14:paraId="79480E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27253F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 w:hAnsi="仿宋" w:eastAsia="仿宋" w:cs="仿宋"/>
          <w:i w:val="0"/>
          <w:iCs w:val="0"/>
          <w:color w:val="606266"/>
          <w:kern w:val="0"/>
          <w:sz w:val="32"/>
          <w:szCs w:val="32"/>
          <w:u w:val="none"/>
          <w:lang w:val="en-US" w:eastAsia="zh-CN" w:bidi="ar"/>
        </w:rPr>
        <w:t>重组Ⅲ型人源化胶原蛋白冻干纤维</w:t>
      </w:r>
    </w:p>
    <w:p w14:paraId="344A93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color w:val="606266"/>
          <w:kern w:val="0"/>
          <w:sz w:val="32"/>
          <w:szCs w:val="32"/>
          <w:u w:val="none"/>
          <w:lang w:val="en-US" w:eastAsia="zh-CN" w:bidi="ar"/>
        </w:rPr>
        <w:t>用于面部真皮组织填充以纠正额部动力性皱纹（包括眉间纹、额头纹和鱼尾纹）。</w:t>
      </w:r>
    </w:p>
    <w:p w14:paraId="5C6B85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2.供应产品具备有效的医疗器械证。</w:t>
      </w:r>
    </w:p>
    <w:p w14:paraId="4798E6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i w:val="0"/>
          <w:iCs w:val="0"/>
          <w:color w:val="000000"/>
          <w:kern w:val="0"/>
          <w:sz w:val="32"/>
          <w:szCs w:val="32"/>
          <w:u w:val="none"/>
          <w:lang w:val="en-US" w:eastAsia="zh-CN" w:bidi="ar"/>
        </w:rPr>
        <w:t>水杨酸医用护理包</w:t>
      </w:r>
    </w:p>
    <w:p w14:paraId="0814B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color w:val="000000"/>
          <w:kern w:val="0"/>
          <w:sz w:val="32"/>
          <w:szCs w:val="32"/>
          <w:u w:val="none"/>
          <w:lang w:val="en-US" w:eastAsia="zh-CN" w:bidi="ar"/>
        </w:rPr>
        <w:t>(1)本产品为水杨酸，由医用棉签、棉片、医用检查手套组成。</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(2)使用范围:适用于寻常痤疮、油性皮肤、玫瑰痤疮、敏感肌肤、黄褐斑、炎症性色沉、提亮均匀肤色。</w:t>
      </w:r>
    </w:p>
    <w:p w14:paraId="432480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eastAsiaTheme="minorEastAsia"/>
          <w:sz w:val="32"/>
          <w:szCs w:val="32"/>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当月20日前院方接收到中选供应商提供有效发票后，从下个月视为第一个月、院方在第12个月月末支付采购费用；当月20日后院方接收到有效发票则延后一个月支付货款，即第13个月月末支付采购费用。</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11</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17</w:t>
      </w:r>
      <w:r>
        <w:rPr>
          <w:rFonts w:hint="eastAsia" w:ascii="仿宋_GB2312" w:eastAsia="仿宋_GB2312"/>
          <w:color w:val="FF0000"/>
          <w:sz w:val="34"/>
          <w:szCs w:val="34"/>
          <w:lang w:eastAsia="zh-CN"/>
        </w:rPr>
        <w:t>日</w:t>
      </w:r>
    </w:p>
    <w:p w14:paraId="227855F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77F4F"/>
    <w:rsid w:val="0707553A"/>
    <w:rsid w:val="08B76B33"/>
    <w:rsid w:val="13D82037"/>
    <w:rsid w:val="19FD0506"/>
    <w:rsid w:val="1B9F19F5"/>
    <w:rsid w:val="1C4921BB"/>
    <w:rsid w:val="20074B9B"/>
    <w:rsid w:val="20CA6C93"/>
    <w:rsid w:val="37B35610"/>
    <w:rsid w:val="39970E7B"/>
    <w:rsid w:val="39C009B5"/>
    <w:rsid w:val="467A2133"/>
    <w:rsid w:val="4F5F0947"/>
    <w:rsid w:val="6EBE7E2E"/>
    <w:rsid w:val="710C1C54"/>
    <w:rsid w:val="7E38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2025-11-15T02:09:36Z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173933319AF243A089E15E24F9A4FA47_12</vt:lpwstr>
  </property>
</Properties>
</file>