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92DAB">
      <w:pPr>
        <w:spacing w:line="360" w:lineRule="exact"/>
        <w:rPr>
          <w:rFonts w:hint="eastAsia" w:eastAsia="等线"/>
          <w:sz w:val="36"/>
          <w:szCs w:val="36"/>
          <w:lang w:val="en-US" w:eastAsia="zh-CN"/>
        </w:rPr>
      </w:pPr>
      <w:r>
        <w:rPr>
          <w:rFonts w:hint="eastAsia" w:ascii="宋体" w:hAnsi="宋体" w:cs="宋体"/>
          <w:sz w:val="22"/>
          <w:lang w:eastAsia="zh-CN"/>
        </w:rPr>
        <w:t>合同编号：</w:t>
      </w:r>
    </w:p>
    <w:p w14:paraId="4E9C356A">
      <w:pPr>
        <w:ind w:left="21120" w:hanging="21120" w:hangingChars="2200"/>
        <w:jc w:val="center"/>
        <w:rPr>
          <w:rFonts w:hint="eastAsia"/>
          <w:sz w:val="96"/>
          <w:szCs w:val="96"/>
          <w:lang w:eastAsia="zh-CN"/>
        </w:rPr>
      </w:pPr>
    </w:p>
    <w:p w14:paraId="762AE009">
      <w:pPr>
        <w:ind w:left="21120" w:hanging="21120" w:hangingChars="2200"/>
        <w:jc w:val="center"/>
        <w:rPr>
          <w:rFonts w:hint="eastAsia" w:eastAsia="等线"/>
          <w:sz w:val="96"/>
          <w:szCs w:val="96"/>
          <w:lang w:eastAsia="zh-CN"/>
        </w:rPr>
      </w:pPr>
      <w:r>
        <w:rPr>
          <w:rFonts w:hint="eastAsia"/>
          <w:sz w:val="96"/>
          <w:szCs w:val="96"/>
          <w:lang w:eastAsia="zh-CN"/>
        </w:rPr>
        <w:t>合同</w:t>
      </w:r>
    </w:p>
    <w:p w14:paraId="373E1A22">
      <w:pPr>
        <w:ind w:left="21120" w:hanging="21120" w:hangingChars="2200"/>
        <w:jc w:val="center"/>
        <w:rPr>
          <w:sz w:val="96"/>
          <w:szCs w:val="96"/>
        </w:rPr>
      </w:pPr>
    </w:p>
    <w:p w14:paraId="5CE7DADE">
      <w:pPr>
        <w:rPr>
          <w:sz w:val="96"/>
          <w:szCs w:val="96"/>
        </w:rPr>
      </w:pPr>
    </w:p>
    <w:p w14:paraId="126D6284">
      <w:pPr>
        <w:rPr>
          <w:sz w:val="96"/>
          <w:szCs w:val="96"/>
        </w:rPr>
      </w:pPr>
    </w:p>
    <w:p w14:paraId="5A0D11DC">
      <w:pPr>
        <w:spacing w:line="600" w:lineRule="exact"/>
        <w:ind w:left="1800" w:hanging="1800" w:hangingChars="500"/>
        <w:rPr>
          <w:rFonts w:hint="eastAsia"/>
          <w:sz w:val="36"/>
          <w:szCs w:val="36"/>
          <w:lang w:eastAsia="zh-CN"/>
        </w:rPr>
      </w:pPr>
      <w:r>
        <w:rPr>
          <w:rFonts w:hint="eastAsia"/>
          <w:sz w:val="36"/>
          <w:szCs w:val="36"/>
        </w:rPr>
        <w:t xml:space="preserve">项目名称： </w:t>
      </w:r>
      <w:r>
        <w:rPr>
          <w:rFonts w:hint="eastAsia"/>
          <w:sz w:val="36"/>
          <w:szCs w:val="36"/>
          <w:lang w:eastAsia="zh-CN"/>
        </w:rPr>
        <w:t>台山市妇幼保健院</w:t>
      </w:r>
      <w:r>
        <w:rPr>
          <w:rFonts w:hint="eastAsia"/>
          <w:sz w:val="36"/>
          <w:szCs w:val="36"/>
          <w:lang w:val="en-US" w:eastAsia="zh-CN"/>
        </w:rPr>
        <w:t>半导体激光治疗仪</w:t>
      </w:r>
      <w:r>
        <w:rPr>
          <w:rFonts w:hint="eastAsia"/>
          <w:sz w:val="36"/>
          <w:szCs w:val="36"/>
          <w:lang w:eastAsia="zh-CN"/>
        </w:rPr>
        <w:t>采购项目</w:t>
      </w:r>
    </w:p>
    <w:p w14:paraId="6F147E00">
      <w:pPr>
        <w:spacing w:line="600" w:lineRule="exact"/>
        <w:ind w:left="1800" w:hanging="1800" w:hangingChars="500"/>
        <w:rPr>
          <w:rFonts w:hint="default"/>
          <w:sz w:val="36"/>
          <w:szCs w:val="36"/>
          <w:lang w:val="en-US" w:eastAsia="zh-CN"/>
        </w:rPr>
      </w:pPr>
      <w:r>
        <w:rPr>
          <w:rFonts w:hint="eastAsia"/>
          <w:sz w:val="36"/>
          <w:szCs w:val="36"/>
          <w:lang w:eastAsia="zh-CN"/>
        </w:rPr>
        <w:t>采购编号：</w:t>
      </w:r>
      <w:r>
        <w:rPr>
          <w:rFonts w:hint="eastAsia"/>
          <w:sz w:val="36"/>
          <w:szCs w:val="36"/>
          <w:lang w:val="en-US" w:eastAsia="zh-CN"/>
        </w:rPr>
        <w:t xml:space="preserve"> ID58805</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sz w:val="36"/>
          <w:szCs w:val="36"/>
        </w:rPr>
      </w:pPr>
      <w:r>
        <w:rPr>
          <w:rFonts w:hint="eastAsia"/>
          <w:sz w:val="36"/>
          <w:szCs w:val="36"/>
        </w:rPr>
        <w:t>地址：</w:t>
      </w:r>
    </w:p>
    <w:p w14:paraId="6EC92D35">
      <w:pPr>
        <w:spacing w:line="600" w:lineRule="exact"/>
        <w:rPr>
          <w:rFonts w:hint="eastAsia"/>
          <w:sz w:val="36"/>
          <w:szCs w:val="36"/>
        </w:rPr>
      </w:pPr>
      <w:r>
        <w:rPr>
          <w:rFonts w:hint="eastAsia"/>
          <w:sz w:val="36"/>
          <w:szCs w:val="36"/>
        </w:rPr>
        <w:t>日期：</w:t>
      </w:r>
    </w:p>
    <w:p w14:paraId="20BB4E2E">
      <w:pPr>
        <w:spacing w:line="600" w:lineRule="exact"/>
        <w:rPr>
          <w:rFonts w:hint="eastAsia"/>
          <w:sz w:val="36"/>
          <w:szCs w:val="36"/>
        </w:rPr>
      </w:pPr>
    </w:p>
    <w:p w14:paraId="07C7A79C">
      <w:pPr>
        <w:spacing w:line="600" w:lineRule="exact"/>
        <w:rPr>
          <w:rFonts w:hint="eastAsia"/>
          <w:sz w:val="36"/>
          <w:szCs w:val="36"/>
        </w:rPr>
        <w:sectPr>
          <w:footerReference r:id="rId3" w:type="default"/>
          <w:pgSz w:w="11906" w:h="16838"/>
          <w:pgMar w:top="1440" w:right="1800" w:bottom="1440" w:left="1800" w:header="851" w:footer="992" w:gutter="0"/>
          <w:cols w:space="425" w:num="1"/>
          <w:docGrid w:type="lines" w:linePitch="312" w:charSpace="0"/>
        </w:sectPr>
      </w:pPr>
    </w:p>
    <w:p w14:paraId="18EB9698">
      <w:pPr>
        <w:spacing w:line="600" w:lineRule="exact"/>
        <w:rPr>
          <w:rFonts w:hint="eastAsia"/>
          <w:sz w:val="36"/>
          <w:szCs w:val="36"/>
        </w:rPr>
      </w:pPr>
    </w:p>
    <w:p w14:paraId="537299F4">
      <w:pPr>
        <w:ind w:firstLine="562" w:firstLineChars="200"/>
        <w:jc w:val="both"/>
        <w:outlineLvl w:val="1"/>
        <w:rPr>
          <w:rFonts w:hint="eastAsia" w:ascii="仿宋" w:hAnsi="仿宋" w:eastAsia="仿宋" w:cs="仿宋"/>
          <w:b/>
          <w:color w:val="auto"/>
          <w:sz w:val="28"/>
          <w:szCs w:val="28"/>
          <w:highlight w:val="none"/>
        </w:rPr>
      </w:pPr>
    </w:p>
    <w:p w14:paraId="503F134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一、货物内容</w:t>
      </w:r>
    </w:p>
    <w:tbl>
      <w:tblPr>
        <w:tblStyle w:val="6"/>
        <w:tblpPr w:leftFromText="180" w:rightFromText="180" w:vertAnchor="text" w:horzAnchor="page" w:tblpX="1990" w:tblpY="6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887"/>
        <w:gridCol w:w="1330"/>
        <w:gridCol w:w="628"/>
        <w:gridCol w:w="634"/>
        <w:gridCol w:w="1438"/>
        <w:gridCol w:w="1511"/>
      </w:tblGrid>
      <w:tr w14:paraId="0402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94" w:type="dxa"/>
            <w:noWrap w:val="0"/>
            <w:vAlign w:val="center"/>
          </w:tcPr>
          <w:p w14:paraId="1CCB0B8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1887" w:type="dxa"/>
            <w:noWrap w:val="0"/>
            <w:vAlign w:val="center"/>
          </w:tcPr>
          <w:p w14:paraId="05AE19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品牌、规格、标准/主要服务内容</w:t>
            </w:r>
          </w:p>
        </w:tc>
        <w:tc>
          <w:tcPr>
            <w:tcW w:w="1330" w:type="dxa"/>
            <w:noWrap w:val="0"/>
            <w:vAlign w:val="center"/>
          </w:tcPr>
          <w:p w14:paraId="38F4D8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628" w:type="dxa"/>
            <w:noWrap w:val="0"/>
            <w:vAlign w:val="center"/>
          </w:tcPr>
          <w:p w14:paraId="35B86B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634" w:type="dxa"/>
            <w:noWrap w:val="0"/>
            <w:vAlign w:val="center"/>
          </w:tcPr>
          <w:p w14:paraId="432CBC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w:t>
            </w:r>
          </w:p>
        </w:tc>
        <w:tc>
          <w:tcPr>
            <w:tcW w:w="1438" w:type="dxa"/>
            <w:noWrap w:val="0"/>
            <w:vAlign w:val="center"/>
          </w:tcPr>
          <w:p w14:paraId="46C3F6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单价</w:t>
            </w:r>
          </w:p>
          <w:p w14:paraId="0CF366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c>
          <w:tcPr>
            <w:tcW w:w="1511" w:type="dxa"/>
            <w:noWrap w:val="0"/>
            <w:vAlign w:val="center"/>
          </w:tcPr>
          <w:p w14:paraId="66464A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金额</w:t>
            </w:r>
          </w:p>
          <w:p w14:paraId="04F7F7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r>
      <w:tr w14:paraId="7BE6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094" w:type="dxa"/>
            <w:noWrap w:val="0"/>
            <w:vAlign w:val="center"/>
          </w:tcPr>
          <w:p w14:paraId="51C5C7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半导体激光治疗仪</w:t>
            </w:r>
          </w:p>
        </w:tc>
        <w:tc>
          <w:tcPr>
            <w:tcW w:w="1887" w:type="dxa"/>
            <w:noWrap w:val="0"/>
            <w:vAlign w:val="center"/>
          </w:tcPr>
          <w:p w14:paraId="18FD12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以中标供应商的投标文件为准</w:t>
            </w:r>
          </w:p>
        </w:tc>
        <w:tc>
          <w:tcPr>
            <w:tcW w:w="1330" w:type="dxa"/>
            <w:noWrap w:val="0"/>
            <w:vAlign w:val="center"/>
          </w:tcPr>
          <w:p w14:paraId="3B4C91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c>
          <w:tcPr>
            <w:tcW w:w="628" w:type="dxa"/>
            <w:noWrap w:val="0"/>
            <w:vAlign w:val="center"/>
          </w:tcPr>
          <w:p w14:paraId="42F7A2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 xml:space="preserve"> </w:t>
            </w:r>
          </w:p>
        </w:tc>
        <w:tc>
          <w:tcPr>
            <w:tcW w:w="634" w:type="dxa"/>
            <w:noWrap w:val="0"/>
            <w:vAlign w:val="center"/>
          </w:tcPr>
          <w:p w14:paraId="68E8ED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台</w:t>
            </w:r>
          </w:p>
        </w:tc>
        <w:tc>
          <w:tcPr>
            <w:tcW w:w="1438" w:type="dxa"/>
            <w:noWrap w:val="0"/>
            <w:vAlign w:val="center"/>
          </w:tcPr>
          <w:p w14:paraId="669521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c>
          <w:tcPr>
            <w:tcW w:w="1511" w:type="dxa"/>
            <w:noWrap w:val="0"/>
            <w:vAlign w:val="center"/>
          </w:tcPr>
          <w:p w14:paraId="4F0325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r>
    </w:tbl>
    <w:p w14:paraId="7860AE60">
      <w:pPr>
        <w:jc w:val="center"/>
        <w:rPr>
          <w:rFonts w:hint="eastAsia" w:ascii="仿宋" w:hAnsi="仿宋" w:eastAsia="仿宋" w:cs="仿宋"/>
          <w:color w:val="auto"/>
          <w:sz w:val="28"/>
          <w:szCs w:val="28"/>
          <w:highlight w:val="none"/>
        </w:rPr>
      </w:pPr>
    </w:p>
    <w:p w14:paraId="364851A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合同总额包括乙方设计、安装、随机零配件、标配工具、运输保险、调试、培训、质保期服务、各项税费及合同实施过程中不可预见费用等。</w:t>
      </w:r>
    </w:p>
    <w:p w14:paraId="1064584D">
      <w:pPr>
        <w:ind w:firstLine="812" w:firstLineChars="29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注：货物名称内容必须与投标文件中货物名称内容一致。</w:t>
      </w:r>
    </w:p>
    <w:p w14:paraId="44795F5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二、合同金额</w:t>
      </w:r>
    </w:p>
    <w:p w14:paraId="2DE79EA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合同金额为（大写）：_________________元（￥_______________元）人民币。</w:t>
      </w:r>
    </w:p>
    <w:p w14:paraId="4F42F27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三、设备要求</w:t>
      </w:r>
    </w:p>
    <w:p w14:paraId="15FE3D2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货物为原制造商制造的全新产品，整机无污染，无侵权行为、表面无划损、无任何缺陷隐患，在中国境内可依常规安全合法使用。</w:t>
      </w:r>
    </w:p>
    <w:p w14:paraId="249E70A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四、交货期、交货方式及交货地点</w:t>
      </w:r>
    </w:p>
    <w:p w14:paraId="1E4D635E">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1.交货期：合同生效之日起</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highlight w:val="none"/>
        </w:rPr>
        <w:t>个日历日内。（包括货物的安装、调试及验收）。</w:t>
      </w:r>
    </w:p>
    <w:p w14:paraId="099D2D1A">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2.交货方式：送货上门</w:t>
      </w:r>
    </w:p>
    <w:p w14:paraId="56379B76">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3.交货地点：</w:t>
      </w:r>
      <w:r>
        <w:rPr>
          <w:rFonts w:hint="eastAsia" w:ascii="仿宋" w:hAnsi="仿宋" w:eastAsia="仿宋" w:cs="仿宋"/>
          <w:b w:val="0"/>
          <w:bCs/>
          <w:color w:val="auto"/>
          <w:sz w:val="28"/>
          <w:szCs w:val="28"/>
          <w:highlight w:val="none"/>
          <w:lang w:eastAsia="zh-CN"/>
        </w:rPr>
        <w:t>台山市妇幼保健院</w:t>
      </w:r>
      <w:r>
        <w:rPr>
          <w:rFonts w:hint="eastAsia" w:ascii="仿宋" w:hAnsi="仿宋" w:eastAsia="仿宋" w:cs="仿宋"/>
          <w:b w:val="0"/>
          <w:bCs/>
          <w:color w:val="auto"/>
          <w:sz w:val="28"/>
          <w:szCs w:val="28"/>
          <w:highlight w:val="none"/>
        </w:rPr>
        <w:t>（以甲方实际要求为准）</w:t>
      </w:r>
    </w:p>
    <w:p w14:paraId="27BF18A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五、付款方式</w:t>
      </w:r>
    </w:p>
    <w:p w14:paraId="68A2F7C5">
      <w:pPr>
        <w:ind w:firstLine="640" w:firstLineChars="200"/>
        <w:jc w:val="both"/>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分三期支付货款，合同签订生效后的30个工作日，支付合同总金额的30%；安装调试完毕并验收合格、入库后的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，将支付合同总金额的</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0%；合同签订生效十八个月后，确认无其它扣款事项后30个工作日，将支付余下款项（合同总金额的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626BBB1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六、质保期及售后服务要求</w:t>
      </w:r>
    </w:p>
    <w:p w14:paraId="4F87BD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w:t>
      </w:r>
      <w:r>
        <w:rPr>
          <w:rFonts w:hint="eastAsia" w:ascii="仿宋_GB2312" w:hAnsi="仿宋_GB2312" w:eastAsia="仿宋_GB2312" w:cs="仿宋_GB2312"/>
          <w:color w:val="FF0000"/>
          <w:sz w:val="32"/>
          <w:szCs w:val="32"/>
        </w:rPr>
        <w:t>原厂保修期至少</w:t>
      </w:r>
      <w:r>
        <w:rPr>
          <w:rFonts w:hint="eastAsia" w:ascii="仿宋_GB2312" w:hAnsi="仿宋_GB2312" w:eastAsia="仿宋_GB2312" w:cs="仿宋_GB2312"/>
          <w:color w:val="FF0000"/>
          <w:sz w:val="32"/>
          <w:szCs w:val="32"/>
          <w:lang w:val="en-US"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5B79F007">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p>
    <w:p w14:paraId="2534337E">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36DFA9B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七、安装与调试</w:t>
      </w:r>
    </w:p>
    <w:p w14:paraId="27EAAF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3D8D960F">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八、验收：</w:t>
      </w:r>
    </w:p>
    <w:p w14:paraId="6F516D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287329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7041D9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4.最终验收方式：安装完毕后，由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组织验收，设备参数与合同一致，设备质量、服务内容达到合同要求；验收时如发现与采购合同条款不符的货物时，</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提出异议，</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应无条件更换。若</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交货期内无法提供符合采购合同条款的货物，甲方有权单方面解除合同并追究乙方违约责任。</w:t>
      </w:r>
    </w:p>
    <w:p w14:paraId="625BDDF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九、违约责任与赔偿损失</w:t>
      </w:r>
    </w:p>
    <w:p w14:paraId="213D855E">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1.乙方交付的货物、工程/提供的服务不符合本合同规定的，甲方有权拒收，并且乙方须向甲方支付本合同总价5%的违约金。</w:t>
      </w:r>
    </w:p>
    <w:p w14:paraId="52C4127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未能按本合同规定的交货时间交付货物的/提供服务，从逾期之日起每日按本合同总价1‰的数额向甲方支付违约金；逾期半个月以上的，或合同履行期间未能提供售后服务、或逾期响应售后服务的次数累计达到3次及以上的，甲方有权单方面解除合同，乙方须向甲方返还已支付的全部费用及一次性支付合同总价的30%作为违约金，违约金不足以弥补甲方损失的，乙方应当补充赔偿甲方的损失。</w:t>
      </w:r>
    </w:p>
    <w:p w14:paraId="09819B82">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3.甲方无正当理由拒收货物/接受服务，到期拒付货物/服务款项的，甲方向乙方偿付本合同总的5%的违约金。甲方人逾期付款，则每日按本合同总价的1‰向乙方偿付违约金。</w:t>
      </w:r>
    </w:p>
    <w:p w14:paraId="5D0388D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4.对于因甲方原因导致变更、中止或者终止政府采购合同的，甲方应当依照以下合同约定对供应商受到的损失予以赔偿或者补偿：</w:t>
      </w:r>
    </w:p>
    <w:p w14:paraId="711932F7">
      <w:pPr>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p>
    <w:p w14:paraId="3E0F6B92">
      <w:pPr>
        <w:ind w:firstLine="560" w:firstLineChars="200"/>
        <w:jc w:val="both"/>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5.其它违约责任按《中华人民共和国民法典(合同编)》处理。</w:t>
      </w:r>
    </w:p>
    <w:p w14:paraId="5A880608">
      <w:pPr>
        <w:ind w:firstLine="562" w:firstLineChars="200"/>
        <w:jc w:val="both"/>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十、争议的解决</w:t>
      </w:r>
      <w:r>
        <w:rPr>
          <w:rFonts w:hint="eastAsia" w:ascii="仿宋" w:hAnsi="仿宋" w:eastAsia="仿宋" w:cs="仿宋"/>
          <w:color w:val="auto"/>
          <w:sz w:val="28"/>
          <w:szCs w:val="28"/>
          <w:highlight w:val="none"/>
        </w:rPr>
        <w:t xml:space="preserve">  合同执行过程中发生的任何争议，如双方不能通过友好协商解决，可向</w:t>
      </w:r>
      <w:r>
        <w:rPr>
          <w:rFonts w:hint="eastAsia" w:ascii="仿宋" w:hAnsi="仿宋" w:eastAsia="仿宋" w:cs="仿宋"/>
          <w:color w:val="auto"/>
          <w:sz w:val="28"/>
          <w:szCs w:val="28"/>
          <w:highlight w:val="none"/>
          <w:lang w:val="en-US" w:eastAsia="zh-CN"/>
        </w:rPr>
        <w:t>甲方所在地</w:t>
      </w:r>
      <w:r>
        <w:rPr>
          <w:rFonts w:hint="eastAsia" w:ascii="仿宋" w:hAnsi="仿宋" w:eastAsia="仿宋" w:cs="仿宋"/>
          <w:color w:val="auto"/>
          <w:sz w:val="28"/>
          <w:szCs w:val="28"/>
          <w:highlight w:val="none"/>
        </w:rPr>
        <w:t>人民法院提起诉讼。</w:t>
      </w:r>
    </w:p>
    <w:p w14:paraId="461D7A9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十一、不可抗力</w:t>
      </w:r>
    </w:p>
    <w:p w14:paraId="7F16C886">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2F55765">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十二、税费</w:t>
      </w:r>
    </w:p>
    <w:p w14:paraId="54D3E80A">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1.在中国境内、外发生的与本合同执行有关的一切税费均由乙方负担。</w:t>
      </w:r>
    </w:p>
    <w:p w14:paraId="4B824B62">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十三、</w:t>
      </w:r>
      <w:r>
        <w:rPr>
          <w:rFonts w:hint="eastAsia" w:ascii="仿宋" w:hAnsi="仿宋" w:eastAsia="仿宋" w:cs="仿宋"/>
          <w:b/>
          <w:color w:val="auto"/>
          <w:sz w:val="28"/>
          <w:szCs w:val="28"/>
          <w:highlight w:val="none"/>
        </w:rPr>
        <w:t>知识产权归属</w:t>
      </w:r>
    </w:p>
    <w:p w14:paraId="78DE94EA">
      <w:pPr>
        <w:ind w:firstLine="560" w:firstLineChars="200"/>
        <w:jc w:val="both"/>
        <w:rPr>
          <w:rFonts w:hint="eastAsia"/>
          <w:color w:val="auto"/>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59E1B90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四</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其它</w:t>
      </w:r>
    </w:p>
    <w:p w14:paraId="020E5F90">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1.本合同所有附件、招标文件、投标文件、中标通知书均为合同的有效组成部分，与本合同具有同等法律效力。</w:t>
      </w:r>
    </w:p>
    <w:p w14:paraId="2EF639D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2.在执行本合同的过程中，所有经双方签署确认的文件（包括会议纪要、补充协议、往来信函）即成为本合同的有效组成部分。</w:t>
      </w:r>
    </w:p>
    <w:p w14:paraId="183EFB6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3.如一方地址、电话、传真号码有变更，应在变更当日内书面通知对方，否则，应承担相应责任。</w:t>
      </w:r>
    </w:p>
    <w:p w14:paraId="52E02C5D">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4.除甲方事先书面同意外，乙方不得部分或全部转让其应履行的合同项下的义务。</w:t>
      </w:r>
    </w:p>
    <w:p w14:paraId="073009B9">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、合同生效</w:t>
      </w:r>
    </w:p>
    <w:p w14:paraId="2B40D1CB">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1.本合同在甲乙双方法人代表或其授权代表签字盖章后生效。</w:t>
      </w:r>
    </w:p>
    <w:p w14:paraId="058952C9">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2.合同一式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F3F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28FD37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甲方(盖章）</w:t>
            </w:r>
          </w:p>
        </w:tc>
        <w:tc>
          <w:tcPr>
            <w:tcW w:w="4690" w:type="dxa"/>
            <w:tcBorders>
              <w:tl2br w:val="nil"/>
              <w:tr2bl w:val="nil"/>
            </w:tcBorders>
            <w:noWrap w:val="0"/>
            <w:vAlign w:val="top"/>
          </w:tcPr>
          <w:p w14:paraId="02840DE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乙方(盖章）</w:t>
            </w:r>
          </w:p>
        </w:tc>
      </w:tr>
      <w:tr w14:paraId="643B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7AB80C5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c>
          <w:tcPr>
            <w:tcW w:w="4690" w:type="dxa"/>
            <w:tcBorders>
              <w:tl2br w:val="nil"/>
              <w:tr2bl w:val="nil"/>
            </w:tcBorders>
            <w:noWrap w:val="0"/>
            <w:vAlign w:val="top"/>
          </w:tcPr>
          <w:p w14:paraId="69F9BD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r>
      <w:tr w14:paraId="720A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3044BFD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7FAEE1C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bl>
    <w:p w14:paraId="756F1AAD">
      <w:pPr>
        <w:ind w:firstLine="560" w:firstLineChars="200"/>
        <w:jc w:val="both"/>
        <w:rPr>
          <w:rFonts w:hint="eastAsia" w:ascii="仿宋" w:hAnsi="仿宋" w:eastAsia="仿宋" w:cs="仿宋"/>
          <w:color w:val="auto"/>
          <w:sz w:val="28"/>
          <w:szCs w:val="28"/>
          <w:highlight w:val="none"/>
        </w:rPr>
      </w:pPr>
    </w:p>
    <w:p w14:paraId="51A31E44">
      <w:pPr>
        <w:ind w:firstLine="560" w:firstLineChars="200"/>
        <w:jc w:val="both"/>
        <w:rPr>
          <w:rFonts w:hint="eastAsia" w:ascii="仿宋" w:hAnsi="仿宋" w:eastAsia="仿宋" w:cs="仿宋"/>
          <w:color w:val="auto"/>
          <w:sz w:val="28"/>
          <w:szCs w:val="28"/>
          <w:highlight w:val="none"/>
        </w:rPr>
      </w:pPr>
    </w:p>
    <w:p w14:paraId="1E4817E5">
      <w:pPr>
        <w:pStyle w:val="2"/>
        <w:rPr>
          <w:rFonts w:hint="eastAsia"/>
          <w:color w:val="auto"/>
          <w:highlight w:val="none"/>
        </w:rPr>
      </w:pPr>
    </w:p>
    <w:p w14:paraId="304F5413">
      <w:pPr>
        <w:spacing w:line="480" w:lineRule="exact"/>
        <w:jc w:val="left"/>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kern w:val="0"/>
          <w:sz w:val="28"/>
          <w:szCs w:val="28"/>
          <w:highlight w:val="none"/>
          <w:lang w:eastAsia="zh-CN"/>
        </w:rPr>
        <w:t>甲乙双方其它约定</w:t>
      </w:r>
    </w:p>
    <w:p w14:paraId="52FCCC1D">
      <w:pPr>
        <w:pStyle w:val="5"/>
        <w:spacing w:before="0" w:beforeAutospacing="0" w:after="0" w:afterAutospacing="0" w:line="360" w:lineRule="auto"/>
        <w:ind w:firstLine="42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须有属本公司的可随时上门作维修及检测的工程师，</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须全天候2小时内电话响应，并在接到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通知后的2小时内抵达故障现场（包括节假日）；</w:t>
      </w:r>
    </w:p>
    <w:p w14:paraId="6C55B117">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须自验收合格之日起负责免费保修不低于</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年，保证保修期内为</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提供服务的工程师需取得所投产品的专业认证，每年提供不少于4次上门保养服务，并按保养规范提供服务内容，包括设备</w:t>
      </w:r>
      <w:bookmarkStart w:id="0" w:name="_GoBack"/>
      <w:bookmarkEnd w:id="0"/>
      <w:r>
        <w:rPr>
          <w:rFonts w:hint="eastAsia" w:ascii="仿宋" w:hAnsi="仿宋" w:eastAsia="仿宋" w:cs="仿宋"/>
          <w:color w:val="auto"/>
          <w:sz w:val="28"/>
          <w:szCs w:val="28"/>
          <w:highlight w:val="none"/>
        </w:rPr>
        <w:t>清洁、性能测试及校准、必要的机械或电气的检查，以及非紧急性质的补救性维修，并定期对设备的数据进行备份，确保系统能按照制造商的产品规格运行的标准来维修，并提供符合原厂技术要求的保养报告,若招标文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的推广文件、澄清文件无特别说明，所有费用由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确保每年故障停机不超过１８天(开机率能达到95%或以上)，否则每超过１天保修期后延</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天；</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终身提供技术咨询及设备维护，保修期外故障维修只收取零配件费用；</w:t>
      </w:r>
    </w:p>
    <w:p w14:paraId="1D1C6A59">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有关操作人员，直至掌握一级养护和操作技术为止，必须提供快速操作指南及养护手册(中文)纸质及电子版。</w:t>
      </w:r>
    </w:p>
    <w:p w14:paraId="389A207D">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4、若须消毒灭菌的，</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必须免费现场培训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有关操作人员，直至掌握消毒灭菌技术为止，必须提供消毒灭菌指南(中文)纸质及电子版。</w:t>
      </w:r>
    </w:p>
    <w:p w14:paraId="4F4CBC4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5、</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有关临床工程技术人员，直至掌握基本的日常维护及常见故障的排除为止，必须提供完整的维护维修手册及错误代码表。</w:t>
      </w:r>
    </w:p>
    <w:p w14:paraId="322BF91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6、若含有计算机软件的，必须提供各项权限的密码及系统备份。</w:t>
      </w:r>
    </w:p>
    <w:p w14:paraId="70D621DE">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7、</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保证配合保养计划，针对产品的外部环境、主要参数与性能做质量评估，从而减少机器非正常停机的风险，提高设备的开机率，及时排除安全隐患，需要</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整改的必须及时书面提出整改方案。</w:t>
      </w:r>
    </w:p>
    <w:p w14:paraId="0B9FDA48">
      <w:pPr>
        <w:spacing w:line="48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8、乙方必须提供设备维修和维护的历史记录服务报告。</w:t>
      </w:r>
      <w:r>
        <w:rPr>
          <w:rFonts w:hint="eastAsia" w:ascii="仿宋" w:hAnsi="仿宋" w:eastAsia="仿宋" w:cs="仿宋"/>
          <w:color w:val="auto"/>
          <w:kern w:val="0"/>
          <w:sz w:val="28"/>
          <w:szCs w:val="28"/>
          <w:highlight w:val="none"/>
        </w:rPr>
        <w:br w:type="page"/>
      </w:r>
    </w:p>
    <w:p w14:paraId="25F8DEC7">
      <w:pPr>
        <w:spacing w:line="480" w:lineRule="exact"/>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2</w:t>
      </w:r>
      <w:r>
        <w:rPr>
          <w:rFonts w:hint="eastAsia" w:ascii="仿宋" w:hAnsi="仿宋" w:eastAsia="仿宋" w:cs="仿宋"/>
          <w:b/>
          <w:bCs/>
          <w:color w:val="auto"/>
          <w:kern w:val="0"/>
          <w:sz w:val="28"/>
          <w:szCs w:val="28"/>
          <w:highlight w:val="none"/>
        </w:rPr>
        <w:t>：维保及培训计划书</w:t>
      </w:r>
    </w:p>
    <w:tbl>
      <w:tblPr>
        <w:tblStyle w:val="7"/>
        <w:tblW w:w="8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160"/>
        <w:gridCol w:w="2491"/>
        <w:gridCol w:w="1623"/>
      </w:tblGrid>
      <w:tr w14:paraId="1F4B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1C7BB6D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53637A97">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4D12455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维保内容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7D462F9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6F39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F03EC27">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8DC561A">
            <w:pPr>
              <w:spacing w:line="480" w:lineRule="exact"/>
              <w:jc w:val="left"/>
              <w:rPr>
                <w:rFonts w:hint="eastAsia" w:ascii="仿宋" w:hAnsi="仿宋" w:eastAsia="仿宋" w:cs="仿宋"/>
                <w:color w:val="auto"/>
                <w:kern w:val="0"/>
                <w:sz w:val="28"/>
                <w:szCs w:val="28"/>
                <w:highlight w:val="none"/>
              </w:rPr>
            </w:pPr>
          </w:p>
        </w:tc>
        <w:tc>
          <w:tcPr>
            <w:tcW w:w="2491" w:type="dxa"/>
            <w:vMerge w:val="restart"/>
            <w:tcBorders>
              <w:top w:val="single" w:color="auto" w:sz="4" w:space="0"/>
              <w:left w:val="single" w:color="auto" w:sz="4" w:space="0"/>
              <w:bottom w:val="single" w:color="auto" w:sz="4" w:space="0"/>
              <w:right w:val="single" w:color="auto" w:sz="4" w:space="0"/>
            </w:tcBorders>
            <w:noWrap w:val="0"/>
            <w:vAlign w:val="top"/>
          </w:tcPr>
          <w:p w14:paraId="12A68B2C">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1A053064">
            <w:pPr>
              <w:spacing w:line="480" w:lineRule="exact"/>
              <w:jc w:val="left"/>
              <w:rPr>
                <w:rFonts w:hint="eastAsia" w:ascii="仿宋" w:hAnsi="仿宋" w:eastAsia="仿宋" w:cs="仿宋"/>
                <w:color w:val="auto"/>
                <w:kern w:val="0"/>
                <w:sz w:val="28"/>
                <w:szCs w:val="28"/>
                <w:highlight w:val="none"/>
              </w:rPr>
            </w:pPr>
          </w:p>
        </w:tc>
      </w:tr>
      <w:tr w14:paraId="13E5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3CF3C36C">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AD60E9F">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3C29536E">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D4DE6FA">
            <w:pPr>
              <w:spacing w:line="480" w:lineRule="exact"/>
              <w:jc w:val="left"/>
              <w:rPr>
                <w:rFonts w:hint="eastAsia" w:ascii="仿宋" w:hAnsi="仿宋" w:eastAsia="仿宋" w:cs="仿宋"/>
                <w:color w:val="auto"/>
                <w:kern w:val="0"/>
                <w:sz w:val="28"/>
                <w:szCs w:val="28"/>
                <w:highlight w:val="none"/>
              </w:rPr>
            </w:pPr>
          </w:p>
        </w:tc>
      </w:tr>
      <w:tr w14:paraId="18C1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4B39A3DE">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1B00002B">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7F224DE5">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CE71E35">
            <w:pPr>
              <w:spacing w:line="480" w:lineRule="exact"/>
              <w:jc w:val="left"/>
              <w:rPr>
                <w:rFonts w:hint="eastAsia" w:ascii="仿宋" w:hAnsi="仿宋" w:eastAsia="仿宋" w:cs="仿宋"/>
                <w:color w:val="auto"/>
                <w:kern w:val="0"/>
                <w:sz w:val="28"/>
                <w:szCs w:val="28"/>
                <w:highlight w:val="none"/>
              </w:rPr>
            </w:pPr>
          </w:p>
        </w:tc>
      </w:tr>
      <w:tr w14:paraId="2E60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7D4C59DD">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0C4B2D71">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5F0256AB">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培训内容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15A7A33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4C04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5846B28">
            <w:pPr>
              <w:spacing w:line="480" w:lineRule="exact"/>
              <w:jc w:val="center"/>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0B84872">
            <w:pPr>
              <w:spacing w:line="480" w:lineRule="exact"/>
              <w:jc w:val="center"/>
              <w:rPr>
                <w:rFonts w:hint="eastAsia" w:ascii="仿宋" w:hAnsi="仿宋" w:eastAsia="仿宋" w:cs="仿宋"/>
                <w:color w:val="auto"/>
                <w:kern w:val="0"/>
                <w:sz w:val="28"/>
                <w:szCs w:val="28"/>
                <w:highlight w:val="none"/>
              </w:rPr>
            </w:pPr>
          </w:p>
        </w:tc>
        <w:tc>
          <w:tcPr>
            <w:tcW w:w="2491" w:type="dxa"/>
            <w:tcBorders>
              <w:top w:val="single" w:color="auto" w:sz="4" w:space="0"/>
              <w:left w:val="single" w:color="auto" w:sz="4" w:space="0"/>
              <w:bottom w:val="single" w:color="auto" w:sz="4" w:space="0"/>
              <w:right w:val="single" w:color="auto" w:sz="4" w:space="0"/>
            </w:tcBorders>
            <w:noWrap w:val="0"/>
            <w:vAlign w:val="top"/>
          </w:tcPr>
          <w:p w14:paraId="09AB6F3A">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34E22F01">
            <w:pPr>
              <w:spacing w:line="480" w:lineRule="exact"/>
              <w:jc w:val="left"/>
              <w:rPr>
                <w:rFonts w:hint="eastAsia" w:ascii="仿宋" w:hAnsi="仿宋" w:eastAsia="仿宋" w:cs="仿宋"/>
                <w:color w:val="auto"/>
                <w:kern w:val="0"/>
                <w:sz w:val="28"/>
                <w:szCs w:val="28"/>
                <w:highlight w:val="none"/>
              </w:rPr>
            </w:pPr>
          </w:p>
        </w:tc>
      </w:tr>
    </w:tbl>
    <w:p w14:paraId="09E1164F">
      <w:pPr>
        <w:rPr>
          <w:rFonts w:hint="eastAsia" w:ascii="仿宋" w:hAnsi="仿宋" w:eastAsia="仿宋" w:cs="仿宋"/>
          <w:color w:val="auto"/>
          <w:sz w:val="28"/>
          <w:szCs w:val="28"/>
          <w:highlight w:val="none"/>
        </w:rPr>
      </w:pPr>
    </w:p>
    <w:p w14:paraId="62B9E03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6D9BE93D">
      <w:pPr>
        <w:jc w:val="left"/>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sz w:val="28"/>
          <w:szCs w:val="28"/>
          <w:highlight w:val="none"/>
        </w:rPr>
        <w:t>医疗卫生机构医药产品廉洁购销合同</w:t>
      </w:r>
    </w:p>
    <w:p w14:paraId="1C8A753F">
      <w:pPr>
        <w:spacing w:line="360" w:lineRule="exact"/>
        <w:rPr>
          <w:rFonts w:hint="eastAsia" w:ascii="仿宋" w:hAnsi="仿宋" w:eastAsia="仿宋" w:cs="仿宋"/>
          <w:color w:val="auto"/>
          <w:sz w:val="28"/>
          <w:szCs w:val="28"/>
          <w:highlight w:val="none"/>
        </w:rPr>
      </w:pPr>
    </w:p>
    <w:p w14:paraId="7B357C77">
      <w:pPr>
        <w:spacing w:line="440" w:lineRule="exact"/>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 xml:space="preserve">甲方: </w:t>
      </w:r>
      <w:r>
        <w:rPr>
          <w:rFonts w:hint="eastAsia" w:ascii="仿宋" w:hAnsi="仿宋" w:eastAsia="仿宋" w:cs="仿宋"/>
          <w:b/>
          <w:color w:val="auto"/>
          <w:sz w:val="28"/>
          <w:szCs w:val="28"/>
          <w:highlight w:val="none"/>
          <w:lang w:eastAsia="zh-CN"/>
        </w:rPr>
        <w:t>台山市妇幼保健院</w:t>
      </w:r>
    </w:p>
    <w:p w14:paraId="4C9DBD01">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乙方: </w:t>
      </w:r>
    </w:p>
    <w:p w14:paraId="2ABA3E1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0BBC32C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一、甲乙双方按照《中华人民共和国民法典》及医药产品购销合同约定购销药品、医用设备、医用耗材等医药产品。</w:t>
      </w:r>
    </w:p>
    <w:p w14:paraId="52778DD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二、甲方应当严格执行医药产品购销合同验收、入库制度，对采购医药产品及发票进行查验，不得违反有关规定合同外采购、违价采购或从非规定渠道采购。</w:t>
      </w:r>
    </w:p>
    <w:p w14:paraId="3C17C6F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01DD7E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四、严禁甲方工作人员利用任何途径和方式，为乙方统计医师个人及临床科室有关医药产品用量信息，或为乙方统计提供便利。</w:t>
      </w:r>
    </w:p>
    <w:p w14:paraId="06902FF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五、乙方不得以回扣、宴请等方式影响甲方工作人员采购或使用医药产品的选择权，不得在学术活动中提供旅游、超标准支付食宿费用。</w:t>
      </w:r>
    </w:p>
    <w:p w14:paraId="6A4A070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乙方指定______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19BFFB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1E0E09D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八、本合同作为医药产品购销合同的重要组成部分，与购销合同一并执行，具有同等的法律效力。</w:t>
      </w:r>
    </w:p>
    <w:p w14:paraId="78E039C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九、本合同一式三份，甲、乙双方各执一份，甲方纪检监察部门(基层医疗卫生机构上报上级卫生计生行政部门)执一份，并从签订之日起生效。</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44E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03F28D2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甲方(盖章）</w:t>
            </w:r>
          </w:p>
        </w:tc>
        <w:tc>
          <w:tcPr>
            <w:tcW w:w="4690" w:type="dxa"/>
            <w:tcBorders>
              <w:tl2br w:val="nil"/>
              <w:tr2bl w:val="nil"/>
            </w:tcBorders>
            <w:noWrap w:val="0"/>
            <w:vAlign w:val="top"/>
          </w:tcPr>
          <w:p w14:paraId="7524644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乙方(盖章）</w:t>
            </w:r>
          </w:p>
        </w:tc>
      </w:tr>
      <w:tr w14:paraId="277F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AB2BF0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c>
          <w:tcPr>
            <w:tcW w:w="4690" w:type="dxa"/>
            <w:tcBorders>
              <w:tl2br w:val="nil"/>
              <w:tr2bl w:val="nil"/>
            </w:tcBorders>
            <w:noWrap w:val="0"/>
            <w:vAlign w:val="top"/>
          </w:tcPr>
          <w:p w14:paraId="570F1A8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r>
      <w:tr w14:paraId="29A0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FCA50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57B5E0C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bl>
    <w:p w14:paraId="0CF4B4A0"/>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0513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40020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3940020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8DA1">
    <w:pPr>
      <w:pStyle w:val="3"/>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C9BB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6C9BB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0733E"/>
    <w:rsid w:val="12E44DD1"/>
    <w:rsid w:val="2F0C6FBE"/>
    <w:rsid w:val="32181F93"/>
    <w:rsid w:val="39A357ED"/>
    <w:rsid w:val="408F5741"/>
    <w:rsid w:val="432C0349"/>
    <w:rsid w:val="47973C55"/>
    <w:rsid w:val="4FC06CB6"/>
    <w:rsid w:val="6FBE4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pPr>
      <w:autoSpaceDE/>
      <w:autoSpaceDN/>
      <w:snapToGrid w:val="0"/>
      <w:spacing w:line="360" w:lineRule="atLeast"/>
      <w:textAlignment w:val="baseline"/>
    </w:pPr>
    <w:rPr>
      <w:rFonts w:ascii="宋体" w:hAnsi="宋体"/>
      <w:sz w:val="28"/>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12</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2025-01-13T09:22:00Z</dcterms:created>
  <dc:creator>sbk003</dc:creator>
  <cp:lastModifiedBy>郭伟国</cp:lastModifiedBy>
  <dcterms:modified xsi:type="dcterms:W3CDTF">2025-11-10T01:22:12Z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9F006809553344E1AB34954BDC7C1E2A_12</vt:lpwstr>
  </property>
</Properties>
</file>