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9BC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lang w:eastAsia="zh-CN"/>
        </w:rPr>
      </w:pPr>
    </w:p>
    <w:p w14:paraId="0D4584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w:t>
      </w:r>
      <w:r>
        <w:rPr>
          <w:rFonts w:hint="eastAsia" w:ascii="宋体" w:hAnsi="宋体"/>
          <w:b/>
          <w:sz w:val="36"/>
          <w:szCs w:val="36"/>
          <w:lang w:eastAsia="zh-CN"/>
        </w:rPr>
        <w:t>医用耗材遴选</w:t>
      </w:r>
      <w:r>
        <w:rPr>
          <w:rFonts w:hint="eastAsia" w:ascii="宋体" w:hAnsi="宋体"/>
          <w:b/>
          <w:sz w:val="36"/>
          <w:szCs w:val="36"/>
        </w:rPr>
        <w:t>评分原则与评标方法</w:t>
      </w:r>
    </w:p>
    <w:p w14:paraId="7F732BCF">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center"/>
        <w:rPr>
          <w:rFonts w:hint="eastAsia" w:ascii="宋体" w:hAnsi="宋体"/>
          <w:b/>
          <w:color w:val="FF0000"/>
          <w:sz w:val="24"/>
          <w:lang w:eastAsia="zh-CN"/>
        </w:rPr>
      </w:pPr>
      <w:r>
        <w:rPr>
          <w:rFonts w:hint="eastAsia" w:ascii="宋体" w:hAnsi="宋体"/>
          <w:b/>
          <w:color w:val="FF0000"/>
          <w:sz w:val="24"/>
          <w:lang w:eastAsia="zh-CN"/>
        </w:rPr>
        <w:t>（</w:t>
      </w:r>
      <w:r>
        <w:rPr>
          <w:rFonts w:hint="eastAsia" w:ascii="宋体" w:hAnsi="宋体"/>
          <w:b/>
          <w:color w:val="FF0000"/>
          <w:sz w:val="24"/>
          <w:lang w:val="en-US" w:eastAsia="zh-CN"/>
        </w:rPr>
        <w:t>2025-LX08</w:t>
      </w:r>
      <w:r>
        <w:rPr>
          <w:rFonts w:hint="eastAsia" w:ascii="宋体" w:hAnsi="宋体"/>
          <w:b/>
          <w:color w:val="FF0000"/>
          <w:sz w:val="24"/>
          <w:lang w:eastAsia="zh-CN"/>
        </w:rPr>
        <w:t>遴选项目：</w:t>
      </w:r>
      <w:r>
        <w:rPr>
          <w:rFonts w:hint="eastAsia" w:ascii="微软雅黑" w:hAnsi="微软雅黑" w:eastAsia="微软雅黑" w:cs="微软雅黑"/>
          <w:i w:val="0"/>
          <w:iCs w:val="0"/>
          <w:caps w:val="0"/>
          <w:color w:val="FF0000"/>
          <w:spacing w:val="0"/>
          <w:sz w:val="20"/>
          <w:szCs w:val="20"/>
          <w:shd w:val="clear" w:fill="FFFFFF"/>
          <w:lang w:val="en-US" w:eastAsia="zh-CN"/>
        </w:rPr>
        <w:t>一次性持续葡萄糖传感器</w:t>
      </w:r>
      <w:r>
        <w:rPr>
          <w:rFonts w:hint="eastAsia" w:ascii="宋体" w:hAnsi="宋体"/>
          <w:b/>
          <w:color w:val="FF0000"/>
          <w:sz w:val="24"/>
          <w:lang w:eastAsia="zh-CN"/>
        </w:rPr>
        <w:t>）</w:t>
      </w:r>
    </w:p>
    <w:p w14:paraId="3442BC3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keepNext w:val="0"/>
        <w:keepLines w:val="0"/>
        <w:pageBreakBefore w:val="0"/>
        <w:kinsoku/>
        <w:wordWrap/>
        <w:overflowPunct/>
        <w:topLinePunct w:val="0"/>
        <w:autoSpaceDE/>
        <w:autoSpaceDN/>
        <w:bidi w:val="0"/>
        <w:adjustRightInd/>
        <w:snapToGrid/>
        <w:spacing w:line="400" w:lineRule="exact"/>
        <w:ind w:firstLine="482" w:firstLineChars="200"/>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keepNext w:val="0"/>
        <w:keepLines w:val="0"/>
        <w:pageBreakBefore w:val="0"/>
        <w:kinsoku/>
        <w:wordWrap/>
        <w:overflowPunct/>
        <w:topLinePunct w:val="0"/>
        <w:autoSpaceDE/>
        <w:autoSpaceDN/>
        <w:bidi w:val="0"/>
        <w:adjustRightInd/>
        <w:snapToGrid/>
        <w:spacing w:line="400" w:lineRule="exact"/>
        <w:ind w:left="0" w:leftChars="0" w:firstLine="482" w:firstLineChars="20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771"/>
        <w:gridCol w:w="3138"/>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3771"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3138"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cs="宋体"/>
                <w:sz w:val="18"/>
                <w:szCs w:val="18"/>
                <w:lang w:val="en-US" w:eastAsia="zh-CN"/>
              </w:rPr>
              <w:t>40</w:t>
            </w:r>
            <w:r>
              <w:rPr>
                <w:rFonts w:hint="eastAsia" w:ascii="宋体" w:hAnsi="宋体" w:eastAsia="宋体" w:cs="宋体"/>
                <w:sz w:val="18"/>
                <w:szCs w:val="18"/>
                <w:lang w:eastAsia="zh-CN"/>
              </w:rPr>
              <w:t>分）</w:t>
            </w:r>
          </w:p>
        </w:tc>
        <w:tc>
          <w:tcPr>
            <w:tcW w:w="3771" w:type="dxa"/>
            <w:vAlign w:val="center"/>
          </w:tcPr>
          <w:p w14:paraId="7551CBE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eastAsia="zh-CN"/>
              </w:rPr>
            </w:pPr>
            <w:r>
              <w:rPr>
                <w:rFonts w:hint="eastAsia"/>
                <w:lang w:val="en-US" w:eastAsia="zh-CN"/>
              </w:rPr>
              <w:t>★1.用于糖尿病成年患者（≥18岁）的组织液葡萄糖水平的连续或定期监测。</w:t>
            </w:r>
          </w:p>
        </w:tc>
        <w:tc>
          <w:tcPr>
            <w:tcW w:w="3138" w:type="dxa"/>
            <w:vAlign w:val="center"/>
          </w:tcPr>
          <w:p w14:paraId="0C6394C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Align w:val="center"/>
          </w:tcPr>
          <w:p w14:paraId="1FDA6A4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eastAsia"/>
                <w:lang w:val="en-US" w:eastAsia="zh-CN"/>
              </w:rPr>
              <w:t>▲2.供应产品具备有效的医疗器械证件。</w:t>
            </w:r>
          </w:p>
          <w:p w14:paraId="503F28A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eastAsia"/>
                <w:lang w:val="en-US" w:eastAsia="zh-CN"/>
              </w:rPr>
              <w:t>3.需提供配套的持续葡萄糖监测系统。</w:t>
            </w:r>
          </w:p>
          <w:p w14:paraId="44D9B3B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default"/>
                <w:lang w:val="en-US" w:eastAsia="zh-CN"/>
              </w:rPr>
              <w:t>4.</w:t>
            </w:r>
            <w:r>
              <w:rPr>
                <w:rFonts w:hint="eastAsia"/>
                <w:lang w:val="en-US" w:eastAsia="zh-CN"/>
              </w:rPr>
              <w:t>产品可提供并存储实时葡萄糖值，供用户 跟踪葡萄糖浓度变化的趋势，若葡萄糖水平低于或高于预设提 醒阈值，产品可发出提醒。</w:t>
            </w:r>
          </w:p>
          <w:p w14:paraId="7B9EB2E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eastAsia"/>
                <w:lang w:val="en-US" w:eastAsia="zh-CN"/>
              </w:rPr>
              <w:t>5.仪器精准率≥91%，提供相关证明。</w:t>
            </w:r>
          </w:p>
          <w:p w14:paraId="07622F6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eastAsia"/>
                <w:lang w:val="en-US" w:eastAsia="zh-CN"/>
              </w:rPr>
              <w:t>6.提供仪器使用时的数据传输保障及数据分析评估报告。</w:t>
            </w:r>
          </w:p>
          <w:p w14:paraId="110975B0">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default"/>
                <w:lang w:val="en-US" w:eastAsia="zh-CN"/>
              </w:rPr>
            </w:pPr>
            <w:r>
              <w:rPr>
                <w:rFonts w:hint="eastAsia"/>
                <w:lang w:val="en-US" w:eastAsia="zh-CN"/>
              </w:rPr>
              <w:t>7.可提供远程数据实时传输。</w:t>
            </w:r>
          </w:p>
          <w:p w14:paraId="3CAD8F60">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default"/>
                <w:lang w:val="en-US" w:eastAsia="zh-CN"/>
              </w:rPr>
            </w:pPr>
            <w:r>
              <w:rPr>
                <w:rFonts w:hint="eastAsia"/>
                <w:lang w:val="en-US" w:eastAsia="zh-CN"/>
              </w:rPr>
              <w:t>（40分）</w:t>
            </w:r>
          </w:p>
        </w:tc>
        <w:tc>
          <w:tcPr>
            <w:tcW w:w="3138" w:type="dxa"/>
            <w:vAlign w:val="center"/>
          </w:tcPr>
          <w:p w14:paraId="62B7EFD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cs="宋体"/>
                <w:color w:val="000000"/>
                <w:kern w:val="0"/>
                <w:szCs w:val="21"/>
              </w:rPr>
            </w:pPr>
            <w:r>
              <w:rPr>
                <w:rFonts w:hint="eastAsia" w:ascii="宋体" w:hAnsi="宋体" w:cs="宋体"/>
                <w:color w:val="000000"/>
                <w:kern w:val="0"/>
                <w:szCs w:val="21"/>
              </w:rPr>
              <w:t>对比产品质量性能情况，包括技术的先进性、可靠性、稳定性</w:t>
            </w:r>
            <w:r>
              <w:rPr>
                <w:rFonts w:hint="eastAsia" w:ascii="宋体" w:hAnsi="宋体" w:cs="宋体"/>
                <w:color w:val="000000"/>
                <w:kern w:val="0"/>
                <w:szCs w:val="21"/>
                <w:lang w:eastAsia="zh-CN"/>
              </w:rPr>
              <w:t>。</w:t>
            </w: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cs="宋体"/>
                <w:color w:val="000000"/>
                <w:kern w:val="0"/>
                <w:szCs w:val="21"/>
              </w:rPr>
              <w:t>达到治疗效果</w:t>
            </w:r>
            <w:r>
              <w:rPr>
                <w:rFonts w:hint="eastAsia" w:hAnsi="宋体"/>
                <w:szCs w:val="21"/>
              </w:rPr>
              <w:t>（</w:t>
            </w:r>
            <w:r>
              <w:rPr>
                <w:rFonts w:hint="eastAsia" w:hAnsi="宋体"/>
                <w:szCs w:val="21"/>
                <w:lang w:val="en-US" w:eastAsia="zh-CN"/>
              </w:rPr>
              <w:t>35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治疗效果</w:t>
            </w:r>
            <w:r>
              <w:rPr>
                <w:rFonts w:hint="eastAsia" w:ascii="宋体" w:hAnsi="宋体" w:cs="宋体"/>
                <w:color w:val="000000"/>
                <w:kern w:val="0"/>
                <w:szCs w:val="21"/>
                <w:lang w:eastAsia="zh-CN"/>
              </w:rPr>
              <w:t>合格（</w:t>
            </w:r>
            <w:r>
              <w:rPr>
                <w:rFonts w:hint="eastAsia" w:ascii="宋体" w:hAnsi="宋体" w:cs="宋体"/>
                <w:color w:val="000000"/>
                <w:kern w:val="0"/>
                <w:szCs w:val="21"/>
                <w:lang w:val="en-US" w:eastAsia="zh-CN"/>
              </w:rPr>
              <w:t>30分），</w:t>
            </w:r>
            <w:r>
              <w:rPr>
                <w:rFonts w:hint="eastAsia" w:ascii="宋体" w:hAnsi="宋体" w:cs="宋体"/>
                <w:color w:val="000000"/>
                <w:kern w:val="0"/>
                <w:szCs w:val="21"/>
              </w:rPr>
              <w:t>治疗效果一般</w:t>
            </w:r>
            <w:r>
              <w:rPr>
                <w:rFonts w:hint="eastAsia" w:hAnsi="宋体"/>
                <w:szCs w:val="21"/>
              </w:rPr>
              <w:t>（</w:t>
            </w:r>
            <w:r>
              <w:rPr>
                <w:rFonts w:hint="eastAsia" w:hAnsi="宋体"/>
                <w:szCs w:val="21"/>
                <w:lang w:val="en-US" w:eastAsia="zh-CN"/>
              </w:rPr>
              <w:t>25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产品未能发挥</w:t>
            </w:r>
            <w:r>
              <w:rPr>
                <w:rFonts w:hint="eastAsia" w:ascii="宋体" w:hAnsi="宋体" w:cs="宋体"/>
                <w:color w:val="000000"/>
                <w:kern w:val="0"/>
                <w:szCs w:val="21"/>
                <w:lang w:eastAsia="zh-CN"/>
              </w:rPr>
              <w:t>合理</w:t>
            </w:r>
            <w:r>
              <w:rPr>
                <w:rFonts w:hint="eastAsia" w:ascii="宋体" w:hAnsi="宋体" w:cs="宋体"/>
                <w:color w:val="000000"/>
                <w:kern w:val="0"/>
                <w:szCs w:val="21"/>
              </w:rPr>
              <w:t>治疗效果</w:t>
            </w:r>
            <w:r>
              <w:rPr>
                <w:rFonts w:hint="eastAsia" w:hAnsi="宋体"/>
                <w:szCs w:val="21"/>
              </w:rPr>
              <w:t>（</w:t>
            </w:r>
            <w:r>
              <w:rPr>
                <w:rFonts w:hint="eastAsia" w:hAnsi="宋体"/>
                <w:szCs w:val="21"/>
                <w:lang w:val="en-US" w:eastAsia="zh-CN"/>
              </w:rPr>
              <w:t>5</w:t>
            </w:r>
            <w:r>
              <w:rPr>
                <w:rFonts w:hint="eastAsia" w:hAnsi="宋体"/>
                <w:szCs w:val="21"/>
              </w:rPr>
              <w:t>分）</w:t>
            </w:r>
            <w:r>
              <w:rPr>
                <w:rFonts w:hint="eastAsia" w:ascii="宋体" w:hAnsi="宋体" w:cs="宋体"/>
                <w:color w:val="000000"/>
                <w:kern w:val="0"/>
                <w:szCs w:val="21"/>
              </w:rPr>
              <w:t>。</w:t>
            </w:r>
          </w:p>
          <w:p w14:paraId="681F2B8F">
            <w:pPr>
              <w:keepNext w:val="0"/>
              <w:keepLines w:val="0"/>
              <w:pageBreakBefore w:val="0"/>
              <w:kinsoku/>
              <w:wordWrap/>
              <w:overflowPunct/>
              <w:topLinePunct w:val="0"/>
              <w:autoSpaceDE/>
              <w:autoSpaceDN/>
              <w:bidi w:val="0"/>
              <w:adjustRightInd/>
              <w:snapToGrid/>
              <w:spacing w:line="400" w:lineRule="exact"/>
              <w:rPr>
                <w:rFonts w:hint="eastAsia"/>
              </w:rPr>
            </w:pPr>
          </w:p>
          <w:p w14:paraId="1DDDA4FA">
            <w:pPr>
              <w:keepNext w:val="0"/>
              <w:keepLines w:val="0"/>
              <w:pageBreakBefore w:val="0"/>
              <w:kinsoku/>
              <w:wordWrap/>
              <w:overflowPunct/>
              <w:topLinePunct w:val="0"/>
              <w:autoSpaceDE/>
              <w:autoSpaceDN/>
              <w:bidi w:val="0"/>
              <w:adjustRightInd/>
              <w:snapToGrid/>
              <w:spacing w:line="400" w:lineRule="exact"/>
              <w:rPr>
                <w:rFonts w:hint="default" w:eastAsia="宋体"/>
                <w:lang w:val="en-US" w:eastAsia="zh-CN"/>
              </w:rPr>
            </w:pP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eastAsia="宋体" w:cs="宋体"/>
                <w:b w:val="0"/>
                <w:bCs w:val="0"/>
                <w:i w:val="0"/>
                <w:iCs w:val="0"/>
                <w:color w:val="000000"/>
                <w:kern w:val="0"/>
                <w:sz w:val="22"/>
                <w:szCs w:val="22"/>
                <w:u w:val="none"/>
                <w:lang w:val="en-US" w:eastAsia="zh-CN" w:bidi="ar"/>
              </w:rPr>
              <w:t>优异</w:t>
            </w:r>
            <w:r>
              <w:rPr>
                <w:rFonts w:hint="eastAsia" w:ascii="宋体" w:hAnsi="宋体" w:cs="宋体"/>
                <w:color w:val="000000"/>
                <w:kern w:val="0"/>
                <w:szCs w:val="21"/>
              </w:rPr>
              <w:t>达到治疗效果</w:t>
            </w:r>
            <w:r>
              <w:rPr>
                <w:rFonts w:hint="eastAsia" w:ascii="宋体" w:hAnsi="宋体" w:cs="宋体"/>
                <w:color w:val="000000"/>
                <w:kern w:val="0"/>
                <w:szCs w:val="21"/>
                <w:lang w:eastAsia="zh-CN"/>
              </w:rPr>
              <w:t>得</w:t>
            </w:r>
            <w:r>
              <w:rPr>
                <w:rFonts w:hint="eastAsia" w:ascii="宋体" w:hAnsi="宋体" w:cs="宋体"/>
                <w:color w:val="000000"/>
                <w:kern w:val="0"/>
                <w:szCs w:val="21"/>
                <w:lang w:val="en-US" w:eastAsia="zh-CN"/>
              </w:rPr>
              <w:t>40分。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3771" w:type="dxa"/>
            <w:vAlign w:val="center"/>
          </w:tcPr>
          <w:p w14:paraId="3438840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★1、成交价格在招采平台能签订合同并生效。</w:t>
            </w:r>
          </w:p>
        </w:tc>
        <w:tc>
          <w:tcPr>
            <w:tcW w:w="3138" w:type="dxa"/>
            <w:vAlign w:val="center"/>
          </w:tcPr>
          <w:p w14:paraId="488D790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Align w:val="center"/>
          </w:tcPr>
          <w:p w14:paraId="68F6F3A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5"/>
                <w:szCs w:val="15"/>
                <w:lang w:val="en-US" w:eastAsia="zh-CN"/>
              </w:rPr>
            </w:pPr>
            <w:r>
              <w:rPr>
                <w:rFonts w:hint="eastAsia"/>
                <w:sz w:val="15"/>
                <w:szCs w:val="15"/>
                <w:lang w:val="en-US" w:eastAsia="zh-CN"/>
              </w:rPr>
              <w:t>2、销售业绩情况：对比产品一年内的销售发票（暂无参考发票可用省招采子系统已生效的采购合同代替）。（10分）</w:t>
            </w:r>
          </w:p>
        </w:tc>
        <w:tc>
          <w:tcPr>
            <w:tcW w:w="3138" w:type="dxa"/>
            <w:vAlign w:val="center"/>
          </w:tcPr>
          <w:p w14:paraId="7D73F77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21"/>
                <w:szCs w:val="21"/>
                <w:u w:val="none"/>
                <w:lang w:val="en-US" w:eastAsia="zh-CN" w:bidi="ar"/>
              </w:rPr>
              <w:t>有3家或以上医院案例（10分）。不足3家医院案例(5分)。未能提供销售发票或者招采子系统合同（0分）。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Merge w:val="restart"/>
            <w:shd w:val="clear" w:color="auto" w:fill="FFFFFF"/>
            <w:vAlign w:val="center"/>
          </w:tcPr>
          <w:p w14:paraId="1E7CDF7F">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r>
              <w:rPr>
                <w:rFonts w:hint="eastAsia"/>
                <w:sz w:val="15"/>
                <w:szCs w:val="15"/>
                <w:lang w:val="en-US" w:eastAsia="zh-CN"/>
              </w:rPr>
              <w:t>3.对比供货服务能力（20分）</w:t>
            </w:r>
          </w:p>
        </w:tc>
        <w:tc>
          <w:tcPr>
            <w:tcW w:w="3138" w:type="dxa"/>
            <w:vAlign w:val="center"/>
          </w:tcPr>
          <w:p w14:paraId="76D2756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日常时期到货时间：2天到货（13分）;3到5天到货（10分）;6天以上到货（4分）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027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9" w:type="dxa"/>
            <w:vMerge w:val="continue"/>
            <w:vAlign w:val="center"/>
          </w:tcPr>
          <w:p w14:paraId="265FC14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Merge w:val="continue"/>
            <w:shd w:val="clear" w:color="auto" w:fill="FFFFFF"/>
            <w:vAlign w:val="center"/>
          </w:tcPr>
          <w:p w14:paraId="429DAE60">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p>
        </w:tc>
        <w:tc>
          <w:tcPr>
            <w:tcW w:w="3138" w:type="dxa"/>
            <w:vAlign w:val="center"/>
          </w:tcPr>
          <w:p w14:paraId="3B1178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售后服务承诺：24小时响应到场（5分）;1周内</w:t>
            </w:r>
            <w:bookmarkStart w:id="0" w:name="_GoBack"/>
            <w:bookmarkEnd w:id="0"/>
            <w:r>
              <w:rPr>
                <w:rFonts w:hint="eastAsia" w:ascii="宋体" w:hAnsi="宋体" w:eastAsia="宋体" w:cs="宋体"/>
                <w:i w:val="0"/>
                <w:iCs w:val="0"/>
                <w:color w:val="000000"/>
                <w:kern w:val="0"/>
                <w:sz w:val="21"/>
                <w:szCs w:val="21"/>
                <w:u w:val="none"/>
                <w:lang w:val="en-US" w:eastAsia="zh-CN" w:bidi="ar"/>
              </w:rPr>
              <w:t>响应到场（3分）;超过1周响应到场（1分）。</w:t>
            </w:r>
          </w:p>
          <w:p w14:paraId="7E9B2B6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（能提供更优异的服务合计得20分。）</w:t>
            </w:r>
          </w:p>
        </w:tc>
        <w:tc>
          <w:tcPr>
            <w:tcW w:w="834" w:type="dxa"/>
            <w:vAlign w:val="center"/>
          </w:tcPr>
          <w:p w14:paraId="29AECA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价格得分=（最低投标价/被评分供应商投标价）×</w:t>
            </w:r>
            <w:r>
              <w:rPr>
                <w:rFonts w:hint="eastAsia" w:ascii="宋体" w:hAnsi="宋体" w:cs="宋体"/>
                <w:sz w:val="18"/>
                <w:szCs w:val="18"/>
                <w:lang w:val="en-US" w:eastAsia="zh-CN"/>
              </w:rPr>
              <w:t>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r>
              <w:rPr>
                <w:rFonts w:hint="eastAsia" w:ascii="宋体" w:hAnsi="宋体" w:eastAsia="宋体" w:cs="宋体"/>
                <w:b/>
                <w:bCs/>
                <w:i w:val="0"/>
                <w:iCs w:val="0"/>
                <w:color w:val="000000"/>
                <w:kern w:val="0"/>
                <w:sz w:val="21"/>
                <w:szCs w:val="21"/>
                <w:u w:val="none"/>
                <w:lang w:val="en-US" w:eastAsia="zh-CN" w:bidi="ar"/>
              </w:rPr>
              <w:t>注：本项仅以常规</w:t>
            </w:r>
            <w:r>
              <w:rPr>
                <w:rFonts w:hint="eastAsia" w:ascii="宋体" w:hAnsi="宋体" w:eastAsia="宋体" w:cs="宋体"/>
                <w:b/>
                <w:bCs/>
                <w:color w:val="000000"/>
                <w:kern w:val="0"/>
                <w:sz w:val="21"/>
                <w:szCs w:val="21"/>
                <w:u w:val="none"/>
                <w:lang w:val="en-US" w:eastAsia="zh-CN" w:bidi="ar"/>
              </w:rPr>
              <w:t>型号价格作为此项计分项</w:t>
            </w:r>
            <w:r>
              <w:rPr>
                <w:rFonts w:hint="eastAsia" w:ascii="宋体" w:hAnsi="宋体" w:eastAsia="宋体" w:cs="宋体"/>
                <w:i w:val="0"/>
                <w:iCs w:val="0"/>
                <w:color w:val="000000"/>
                <w:kern w:val="0"/>
                <w:sz w:val="21"/>
                <w:szCs w:val="21"/>
                <w:u w:val="none"/>
                <w:lang w:val="en-US" w:eastAsia="zh-CN" w:bidi="ar"/>
              </w:rPr>
              <w:t>）</w:t>
            </w:r>
          </w:p>
        </w:tc>
      </w:tr>
    </w:tbl>
    <w:p w14:paraId="02B0785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79391FE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0D6C88D4">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lang w:val="en-US" w:eastAsia="zh-CN"/>
        </w:rPr>
      </w:pPr>
    </w:p>
    <w:p w14:paraId="018C0431">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lang w:val="en-US" w:eastAsia="zh-CN"/>
        </w:rPr>
      </w:pP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A2467E"/>
    <w:rsid w:val="06A11BD4"/>
    <w:rsid w:val="0BB66D16"/>
    <w:rsid w:val="0C66094A"/>
    <w:rsid w:val="0D8A529B"/>
    <w:rsid w:val="0F5457FA"/>
    <w:rsid w:val="136646D4"/>
    <w:rsid w:val="16021D37"/>
    <w:rsid w:val="1AFF7456"/>
    <w:rsid w:val="35E67DBD"/>
    <w:rsid w:val="36405C01"/>
    <w:rsid w:val="3BD00CD0"/>
    <w:rsid w:val="3F82329E"/>
    <w:rsid w:val="40246B22"/>
    <w:rsid w:val="41672CA1"/>
    <w:rsid w:val="43661FA0"/>
    <w:rsid w:val="4D3E1BB5"/>
    <w:rsid w:val="4D73501E"/>
    <w:rsid w:val="51B76F1C"/>
    <w:rsid w:val="567567DF"/>
    <w:rsid w:val="57503424"/>
    <w:rsid w:val="5E3B7AF9"/>
    <w:rsid w:val="5E530AF4"/>
    <w:rsid w:val="6395523F"/>
    <w:rsid w:val="658E4F40"/>
    <w:rsid w:val="6CB164BD"/>
    <w:rsid w:val="6DC07393"/>
    <w:rsid w:val="7369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1245</Characters>
  <Lines>10</Lines>
  <Paragraphs>2</Paragraphs>
  <TotalTime>2</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2025-10-25T02:21:27Z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