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EFD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采购需求</w:t>
      </w:r>
    </w:p>
    <w:p w14:paraId="373E1394">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设备名称、数量</w:t>
      </w:r>
    </w:p>
    <w:tbl>
      <w:tblPr>
        <w:tblStyle w:val="5"/>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730"/>
        <w:gridCol w:w="845"/>
        <w:gridCol w:w="1317"/>
        <w:gridCol w:w="1418"/>
        <w:gridCol w:w="1566"/>
        <w:gridCol w:w="1270"/>
      </w:tblGrid>
      <w:tr w14:paraId="47CC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731" w:type="dxa"/>
          </w:tcPr>
          <w:p w14:paraId="2F8D4E69">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4"/>
                <w:szCs w:val="24"/>
                <w:shd w:val="clear" w:color="auto" w:fill="FFFFFF"/>
              </w:rPr>
            </w:pPr>
            <w:r>
              <w:rPr>
                <w:rFonts w:hint="eastAsia" w:ascii="仿宋_GB2312" w:eastAsia="仿宋_GB2312"/>
                <w:color w:val="333333"/>
                <w:sz w:val="24"/>
                <w:szCs w:val="24"/>
                <w:shd w:val="clear" w:color="auto" w:fill="FFFFFF"/>
              </w:rPr>
              <w:t>序号</w:t>
            </w:r>
          </w:p>
        </w:tc>
        <w:tc>
          <w:tcPr>
            <w:tcW w:w="1730" w:type="dxa"/>
          </w:tcPr>
          <w:p w14:paraId="53A1692A">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4"/>
                <w:szCs w:val="24"/>
                <w:shd w:val="clear" w:color="auto" w:fill="FFFFFF"/>
              </w:rPr>
            </w:pPr>
            <w:r>
              <w:rPr>
                <w:rFonts w:hint="eastAsia" w:ascii="仿宋_GB2312" w:eastAsia="仿宋_GB2312"/>
                <w:color w:val="333333"/>
                <w:sz w:val="24"/>
                <w:szCs w:val="24"/>
                <w:shd w:val="clear" w:color="auto" w:fill="FFFFFF"/>
                <w:lang w:eastAsia="zh-CN"/>
              </w:rPr>
              <w:t>采购设备</w:t>
            </w:r>
            <w:r>
              <w:rPr>
                <w:rFonts w:hint="eastAsia" w:ascii="仿宋_GB2312" w:eastAsia="仿宋_GB2312"/>
                <w:color w:val="333333"/>
                <w:sz w:val="24"/>
                <w:szCs w:val="24"/>
                <w:shd w:val="clear" w:color="auto" w:fill="FFFFFF"/>
              </w:rPr>
              <w:t>名称</w:t>
            </w:r>
          </w:p>
        </w:tc>
        <w:tc>
          <w:tcPr>
            <w:tcW w:w="845" w:type="dxa"/>
          </w:tcPr>
          <w:p w14:paraId="3081179B">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4"/>
                <w:szCs w:val="24"/>
                <w:shd w:val="clear" w:color="auto" w:fill="FFFFFF"/>
              </w:rPr>
            </w:pPr>
            <w:r>
              <w:rPr>
                <w:rFonts w:hint="eastAsia" w:ascii="仿宋_GB2312" w:eastAsia="仿宋_GB2312"/>
                <w:color w:val="333333"/>
                <w:sz w:val="24"/>
                <w:szCs w:val="24"/>
                <w:shd w:val="clear" w:color="auto" w:fill="FFFFFF"/>
              </w:rPr>
              <w:t>数量</w:t>
            </w:r>
          </w:p>
        </w:tc>
        <w:tc>
          <w:tcPr>
            <w:tcW w:w="1317" w:type="dxa"/>
          </w:tcPr>
          <w:p w14:paraId="421999F2">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仿宋_GB2312" w:eastAsia="仿宋_GB2312"/>
                <w:color w:val="333333"/>
                <w:sz w:val="24"/>
                <w:szCs w:val="24"/>
                <w:shd w:val="clear" w:color="auto" w:fill="FFFFFF"/>
              </w:rPr>
            </w:pPr>
            <w:r>
              <w:rPr>
                <w:rFonts w:hint="eastAsia" w:ascii="仿宋_GB2312" w:eastAsia="仿宋_GB2312"/>
                <w:color w:val="333333"/>
                <w:sz w:val="24"/>
                <w:szCs w:val="24"/>
                <w:shd w:val="clear" w:color="auto" w:fill="FFFFFF"/>
              </w:rPr>
              <w:t>预算（单位：万元）</w:t>
            </w:r>
          </w:p>
        </w:tc>
        <w:tc>
          <w:tcPr>
            <w:tcW w:w="1418" w:type="dxa"/>
          </w:tcPr>
          <w:p w14:paraId="7F1ABEC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333333"/>
                <w:sz w:val="24"/>
                <w:szCs w:val="24"/>
                <w:shd w:val="clear" w:color="auto" w:fill="FFFFFF"/>
              </w:rPr>
            </w:pPr>
            <w:r>
              <w:rPr>
                <w:rFonts w:hint="eastAsia" w:ascii="微软雅黑" w:hAnsi="微软雅黑" w:eastAsia="微软雅黑" w:cs="微软雅黑"/>
                <w:i w:val="0"/>
                <w:iCs w:val="0"/>
                <w:caps w:val="0"/>
                <w:color w:val="333333"/>
                <w:spacing w:val="0"/>
                <w:sz w:val="24"/>
                <w:szCs w:val="24"/>
                <w:shd w:val="clear" w:fill="FFFFFF"/>
                <w:lang w:val="en-US" w:eastAsia="zh-CN"/>
              </w:rPr>
              <w:t>预计2年耗材需求数量</w:t>
            </w:r>
          </w:p>
        </w:tc>
        <w:tc>
          <w:tcPr>
            <w:tcW w:w="1566" w:type="dxa"/>
            <w:vAlign w:val="center"/>
          </w:tcPr>
          <w:p w14:paraId="12A24C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仿宋_GB2312" w:eastAsia="仿宋_GB2312"/>
                <w:color w:val="333333"/>
                <w:sz w:val="24"/>
                <w:szCs w:val="24"/>
                <w:shd w:val="clear" w:color="auto" w:fill="FFFFFF"/>
              </w:rPr>
            </w:pPr>
            <w:r>
              <w:rPr>
                <w:rFonts w:hint="eastAsia" w:ascii="微软雅黑" w:hAnsi="微软雅黑" w:eastAsia="微软雅黑" w:cs="微软雅黑"/>
                <w:i w:val="0"/>
                <w:iCs w:val="0"/>
                <w:caps w:val="0"/>
                <w:color w:val="333333"/>
                <w:spacing w:val="0"/>
                <w:sz w:val="24"/>
                <w:szCs w:val="24"/>
                <w:shd w:val="clear" w:fill="FFFFFF"/>
                <w:lang w:val="en-US" w:eastAsia="zh-CN"/>
              </w:rPr>
              <w:t>样品提供</w:t>
            </w:r>
          </w:p>
        </w:tc>
        <w:tc>
          <w:tcPr>
            <w:tcW w:w="1270" w:type="dxa"/>
            <w:vAlign w:val="top"/>
          </w:tcPr>
          <w:p w14:paraId="51DB6A4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仿宋_GB2312" w:eastAsia="仿宋_GB2312"/>
                <w:color w:val="333333"/>
                <w:sz w:val="24"/>
                <w:szCs w:val="24"/>
                <w:shd w:val="clear" w:color="auto" w:fill="FFFFFF"/>
              </w:rPr>
              <w:t>备注</w:t>
            </w:r>
          </w:p>
        </w:tc>
      </w:tr>
      <w:tr w14:paraId="1575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731" w:type="dxa"/>
          </w:tcPr>
          <w:p w14:paraId="55FB6D94">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FF0000"/>
                <w:sz w:val="28"/>
                <w:szCs w:val="28"/>
                <w:shd w:val="clear" w:color="auto" w:fill="FFFFFF"/>
              </w:rPr>
            </w:pPr>
            <w:r>
              <w:rPr>
                <w:rFonts w:hint="eastAsia" w:ascii="仿宋_GB2312" w:eastAsia="仿宋_GB2312"/>
                <w:color w:val="FF0000"/>
                <w:sz w:val="28"/>
                <w:szCs w:val="28"/>
                <w:shd w:val="clear" w:color="auto" w:fill="FFFFFF"/>
              </w:rPr>
              <w:t>1.</w:t>
            </w:r>
          </w:p>
        </w:tc>
        <w:tc>
          <w:tcPr>
            <w:tcW w:w="1730" w:type="dxa"/>
          </w:tcPr>
          <w:p w14:paraId="68DA76C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1"/>
                <w:szCs w:val="21"/>
                <w:shd w:val="clear" w:color="auto" w:fill="FFFFFF"/>
                <w:lang w:val="en-US" w:eastAsia="zh-CN"/>
              </w:rPr>
            </w:pPr>
            <w:r>
              <w:rPr>
                <w:rFonts w:hint="eastAsia" w:ascii="仿宋_GB2312" w:eastAsia="仿宋_GB2312"/>
                <w:color w:val="FF0000"/>
                <w:sz w:val="21"/>
                <w:szCs w:val="21"/>
                <w:shd w:val="clear" w:color="auto" w:fill="FFFFFF"/>
                <w:lang w:val="en-US" w:eastAsia="zh-CN"/>
              </w:rPr>
              <w:t>高频手术治疗仪及电极</w:t>
            </w:r>
          </w:p>
        </w:tc>
        <w:tc>
          <w:tcPr>
            <w:tcW w:w="845" w:type="dxa"/>
          </w:tcPr>
          <w:p w14:paraId="0EAF2B0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rPr>
            </w:pPr>
            <w:r>
              <w:rPr>
                <w:rFonts w:hint="eastAsia" w:ascii="仿宋_GB2312" w:eastAsia="仿宋_GB2312"/>
                <w:color w:val="FF0000"/>
                <w:sz w:val="28"/>
                <w:szCs w:val="28"/>
                <w:shd w:val="clear" w:color="auto" w:fill="FFFFFF"/>
                <w:lang w:val="en-US" w:eastAsia="zh-CN"/>
              </w:rPr>
              <w:t>1套</w:t>
            </w:r>
          </w:p>
        </w:tc>
        <w:tc>
          <w:tcPr>
            <w:tcW w:w="1317" w:type="dxa"/>
          </w:tcPr>
          <w:p w14:paraId="330BB59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0.99</w:t>
            </w:r>
          </w:p>
        </w:tc>
        <w:tc>
          <w:tcPr>
            <w:tcW w:w="1418" w:type="dxa"/>
          </w:tcPr>
          <w:p w14:paraId="24D44E1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1"/>
                <w:szCs w:val="21"/>
                <w:shd w:val="clear" w:color="auto" w:fill="FFFFFF"/>
                <w:lang w:val="en-US" w:eastAsia="zh-CN"/>
              </w:rPr>
            </w:pPr>
            <w:r>
              <w:rPr>
                <w:rFonts w:hint="eastAsia" w:ascii="仿宋_GB2312" w:eastAsia="仿宋_GB2312"/>
                <w:color w:val="FF0000"/>
                <w:sz w:val="21"/>
                <w:szCs w:val="21"/>
                <w:shd w:val="clear" w:color="auto" w:fill="FFFFFF"/>
                <w:lang w:val="en-US" w:eastAsia="zh-CN"/>
              </w:rPr>
              <w:t>120支</w:t>
            </w:r>
          </w:p>
        </w:tc>
        <w:tc>
          <w:tcPr>
            <w:tcW w:w="1566" w:type="dxa"/>
            <w:vAlign w:val="center"/>
          </w:tcPr>
          <w:p w14:paraId="5A4631B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FF0000"/>
                <w:sz w:val="21"/>
                <w:szCs w:val="21"/>
                <w:shd w:val="clear" w:color="auto" w:fill="FFFFFF"/>
                <w:lang w:val="en-US" w:eastAsia="zh-CN"/>
              </w:rPr>
            </w:pPr>
            <w:r>
              <w:rPr>
                <w:rFonts w:hint="eastAsia" w:ascii="仿宋_GB2312" w:eastAsia="仿宋_GB2312"/>
                <w:color w:val="FF0000"/>
                <w:sz w:val="21"/>
                <w:szCs w:val="21"/>
                <w:shd w:val="clear" w:color="auto" w:fill="FFFFFF"/>
                <w:lang w:val="en-US" w:eastAsia="zh-CN"/>
              </w:rPr>
              <w:t>提交标书时提供样品试用；</w:t>
            </w:r>
          </w:p>
        </w:tc>
        <w:tc>
          <w:tcPr>
            <w:tcW w:w="1270" w:type="dxa"/>
            <w:vAlign w:val="top"/>
          </w:tcPr>
          <w:p w14:paraId="0FB8284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FF0000"/>
                <w:sz w:val="21"/>
                <w:szCs w:val="21"/>
                <w:shd w:val="clear" w:color="auto" w:fill="FFFFFF"/>
                <w:lang w:val="en-US" w:eastAsia="zh-CN"/>
              </w:rPr>
            </w:pPr>
            <w:r>
              <w:rPr>
                <w:rFonts w:hint="eastAsia" w:ascii="仿宋_GB2312" w:eastAsia="仿宋_GB2312"/>
                <w:color w:val="FF0000"/>
                <w:sz w:val="21"/>
                <w:szCs w:val="21"/>
                <w:shd w:val="clear" w:color="auto" w:fill="FFFFFF"/>
                <w:lang w:val="en-US" w:eastAsia="zh-CN"/>
              </w:rPr>
              <w:t>详见采购需求</w:t>
            </w:r>
          </w:p>
        </w:tc>
      </w:tr>
    </w:tbl>
    <w:p w14:paraId="015288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4"/>
          <w:szCs w:val="34"/>
          <w:lang w:val="en-US" w:eastAsia="zh-CN"/>
        </w:rPr>
      </w:pPr>
      <w:r>
        <w:rPr>
          <w:rFonts w:hint="eastAsia" w:ascii="黑体" w:hAnsi="黑体" w:eastAsia="黑体"/>
          <w:sz w:val="32"/>
          <w:szCs w:val="32"/>
          <w:lang w:val="en-US" w:eastAsia="zh-CN"/>
        </w:rPr>
        <w:t>二、基本技术参数或要求</w:t>
      </w:r>
    </w:p>
    <w:p w14:paraId="6EBD258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val="en-US" w:eastAsia="zh-CN"/>
        </w:rPr>
      </w:pPr>
      <w:r>
        <w:rPr>
          <w:rFonts w:hint="eastAsia" w:ascii="楷体_GB2312" w:eastAsia="楷体_GB2312"/>
          <w:b/>
          <w:sz w:val="32"/>
          <w:szCs w:val="32"/>
          <w:lang w:val="en-US" w:eastAsia="zh-CN"/>
        </w:rPr>
        <w:t>（一）高频手术治疗仪</w:t>
      </w:r>
    </w:p>
    <w:p w14:paraId="087EBAB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★1.高频手术治疗仪</w:t>
      </w:r>
      <w:r>
        <w:rPr>
          <w:rFonts w:hint="eastAsia" w:ascii="仿宋_GB2312" w:hAnsi="仿宋_GB2312" w:eastAsia="仿宋_GB2312" w:cs="仿宋_GB2312"/>
          <w:color w:val="auto"/>
          <w:sz w:val="32"/>
          <w:szCs w:val="32"/>
          <w:lang w:val="en-US" w:eastAsia="zh-CN"/>
        </w:rPr>
        <w:t>与电极配合使用，用于皮肤科、耳鼻喉科、妇科和肛肠科浅表部位的手术中，对相应组织进行凝固、使组织变性和/或坏死。</w:t>
      </w:r>
    </w:p>
    <w:p w14:paraId="702827B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★2.消融手术电极用于非内窥镜临床手术中，用于人体组织的消融。</w:t>
      </w:r>
    </w:p>
    <w:p w14:paraId="7CE89CD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▲3.高频手术治疗仪由主机、脚踏开关、电源线、流量控制器和手术电极组成。</w:t>
      </w:r>
    </w:p>
    <w:p w14:paraId="7C49B4D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▲4.工作模式：高频手术治疗仪分别有单极凝固和双极凝固两种工作模式。</w:t>
      </w:r>
    </w:p>
    <w:p w14:paraId="2792E69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5.本产品含一次性使用和重复使用耗材。</w:t>
      </w:r>
    </w:p>
    <w:p w14:paraId="4B9D6ED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lang w:eastAsia="zh-CN"/>
        </w:rPr>
      </w:pPr>
      <w:r>
        <w:rPr>
          <w:rFonts w:hint="eastAsia" w:ascii="仿宋_GB2312" w:hAnsi="仿宋_GB2312" w:eastAsia="仿宋_GB2312" w:cs="仿宋_GB2312"/>
          <w:sz w:val="32"/>
          <w:szCs w:val="32"/>
          <w:lang w:eastAsia="zh-CN"/>
        </w:rPr>
        <w:t>（</w:t>
      </w:r>
      <w:r>
        <w:t>打“</w:t>
      </w:r>
      <w:r>
        <w:rPr>
          <w:rFonts w:hint="eastAsia" w:ascii="宋体" w:hAnsi="宋体" w:eastAsia="宋体" w:cs="宋体"/>
        </w:rPr>
        <w:t>★</w:t>
      </w:r>
      <w:r>
        <w:rPr>
          <w:rFonts w:ascii="Calibri" w:hAnsi="Calibri" w:cs="Calibri"/>
        </w:rPr>
        <w:t>”</w:t>
      </w:r>
      <w:r>
        <w:t>号条款为实质性条款，若有任何一条不满足则导致投标无效。打“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r>
        <w:rPr>
          <w:rFonts w:hint="eastAsia"/>
          <w:lang w:eastAsia="zh-CN"/>
        </w:rPr>
        <w:t>）</w:t>
      </w:r>
    </w:p>
    <w:p w14:paraId="296E15BE">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商务要求</w:t>
      </w:r>
    </w:p>
    <w:p w14:paraId="67DF8D4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val="en-US" w:eastAsia="zh-CN"/>
        </w:rPr>
      </w:pPr>
      <w:r>
        <w:rPr>
          <w:rFonts w:hint="eastAsia" w:ascii="楷体_GB2312" w:eastAsia="楷体_GB2312"/>
          <w:b/>
          <w:sz w:val="32"/>
          <w:szCs w:val="32"/>
          <w:lang w:val="en-US" w:eastAsia="zh-CN"/>
        </w:rPr>
        <w:t>（一）销售业绩及采购实施</w:t>
      </w:r>
    </w:p>
    <w:p w14:paraId="787F063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★1、成交价格在招采平台能签订合同并生效。</w:t>
      </w:r>
    </w:p>
    <w:p w14:paraId="59AE601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2.销售业绩情况：产品一年内有销售记录，并提供相应材料。</w:t>
      </w:r>
    </w:p>
    <w:p w14:paraId="58C144F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val="en-US" w:eastAsia="zh-CN"/>
        </w:rPr>
        <w:t>（二）</w:t>
      </w:r>
      <w:r>
        <w:rPr>
          <w:rFonts w:hint="eastAsia" w:ascii="楷体_GB2312" w:eastAsia="楷体_GB2312"/>
          <w:b/>
          <w:sz w:val="32"/>
          <w:szCs w:val="32"/>
        </w:rPr>
        <w:t>供货</w:t>
      </w:r>
      <w:r>
        <w:rPr>
          <w:rFonts w:hint="eastAsia" w:ascii="楷体_GB2312" w:eastAsia="楷体_GB2312"/>
          <w:b/>
          <w:sz w:val="32"/>
          <w:szCs w:val="32"/>
          <w:lang w:eastAsia="zh-CN"/>
        </w:rPr>
        <w:t>能力。</w:t>
      </w:r>
    </w:p>
    <w:p w14:paraId="465544F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1、货物送达地点：台山市妇幼保健院</w:t>
      </w:r>
    </w:p>
    <w:p w14:paraId="153844A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2、中选供应商按响应条件及承诺的服务项目，在通知交货时间内按采购人的要求免费送货上门、送货前事先通知采购人，并提供免费卸货服务。</w:t>
      </w:r>
    </w:p>
    <w:p w14:paraId="74A8FF2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3、中选供应商应当采取有效措施确保投标产品的规格、性能、校对等符合国家标准、行业标准等质量的管理规定要求，保障投标产品的质量。</w:t>
      </w:r>
    </w:p>
    <w:p w14:paraId="22E577D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4、供货期间，中选供应商须确保三证齐全、证照符合国家、省、市各级管理部门要求，并具备有效期内的产品代理授权书。</w:t>
      </w:r>
    </w:p>
    <w:p w14:paraId="14D82F0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5、中选供应商所提供的耗材必须是原装正品，如发现有假冒产品，采购人有权终止合同，并将假冒产品全部退回。</w:t>
      </w:r>
    </w:p>
    <w:p w14:paraId="55DB73B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6、中选供应商应保证按投标响应条件及承诺提供供货服务和相应售后服务，如出现使用、包装等方面的问题，投标人须无条件给予退换；承诺无条件退换破损和近效期产品。</w:t>
      </w:r>
    </w:p>
    <w:p w14:paraId="4862022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7、中选供应商应当设定服务专线，及时响应采购人的要求，并提供免费上门服务。</w:t>
      </w:r>
    </w:p>
    <w:p w14:paraId="678A443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（三）售后服务。</w:t>
      </w:r>
    </w:p>
    <w:p w14:paraId="2EECB0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1.及时响应售后需求，对耗材使用进行培训。</w:t>
      </w:r>
    </w:p>
    <w:p w14:paraId="49ABA8F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售后服务承诺</w:t>
      </w:r>
      <w:r>
        <w:rPr>
          <w:rFonts w:hint="eastAsia" w:ascii="仿宋_GB2312" w:hAnsi="仿宋_GB2312" w:eastAsia="仿宋_GB2312" w:cs="仿宋_GB2312"/>
          <w:sz w:val="32"/>
          <w:szCs w:val="32"/>
          <w:lang w:eastAsia="zh-CN"/>
        </w:rPr>
        <w:t>。有紧急替代方案。</w:t>
      </w:r>
    </w:p>
    <w:p w14:paraId="3D8E2F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四、其他要求</w:t>
      </w:r>
    </w:p>
    <w:p w14:paraId="7182656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（一）付款方式。</w:t>
      </w:r>
      <w:r>
        <w:rPr>
          <w:rFonts w:hint="eastAsia" w:ascii="仿宋_GB2312" w:hAnsi="仿宋_GB2312" w:eastAsia="仿宋_GB2312" w:cs="仿宋_GB2312"/>
          <w:color w:val="FF0000"/>
          <w:sz w:val="32"/>
          <w:szCs w:val="32"/>
          <w:lang w:val="en-US" w:eastAsia="zh-CN"/>
        </w:rPr>
        <w:t>当月20日前院方接收到中选供应商提供有效发票后，从</w:t>
      </w:r>
      <w:bookmarkStart w:id="0" w:name="_GoBack"/>
      <w:bookmarkEnd w:id="0"/>
      <w:r>
        <w:rPr>
          <w:rFonts w:hint="eastAsia" w:ascii="仿宋_GB2312" w:hAnsi="仿宋_GB2312" w:eastAsia="仿宋_GB2312" w:cs="仿宋_GB2312"/>
          <w:color w:val="FF0000"/>
          <w:sz w:val="32"/>
          <w:szCs w:val="32"/>
          <w:lang w:val="en-US" w:eastAsia="zh-CN"/>
        </w:rPr>
        <w:t>下个月视为第一个月、院方在第12个月月末支付采购费用；当月20日后院方接收到有效发票则延后一个月支付货款，即第13个月月末支付采购费用。</w:t>
      </w:r>
    </w:p>
    <w:p w14:paraId="2CE7C3B0">
      <w:pPr>
        <w:numPr>
          <w:ilvl w:val="0"/>
          <w:numId w:val="0"/>
        </w:numPr>
        <w:spacing w:line="360" w:lineRule="auto"/>
        <w:ind w:firstLine="640" w:firstLineChars="200"/>
        <w:rPr>
          <w:rFonts w:hint="eastAsia" w:ascii="仿宋_GB2312" w:hAnsi="仿宋_GB2312" w:eastAsia="仿宋_GB2312" w:cs="仿宋_GB2312"/>
          <w:sz w:val="32"/>
          <w:szCs w:val="32"/>
          <w:lang w:eastAsia="zh-CN"/>
        </w:rPr>
      </w:pPr>
    </w:p>
    <w:p w14:paraId="7CA05EA2">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eastAsia="zh-CN"/>
        </w:rPr>
        <w:t>台山市妇幼保健院</w:t>
      </w:r>
    </w:p>
    <w:p w14:paraId="536B5F30">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val="en-US" w:eastAsia="zh-CN"/>
        </w:rPr>
        <w:t>2025</w:t>
      </w:r>
      <w:r>
        <w:rPr>
          <w:rFonts w:hint="eastAsia" w:ascii="仿宋_GB2312" w:eastAsia="仿宋_GB2312"/>
          <w:color w:val="FF0000"/>
          <w:sz w:val="34"/>
          <w:szCs w:val="34"/>
          <w:lang w:eastAsia="zh-CN"/>
        </w:rPr>
        <w:t>年</w:t>
      </w:r>
      <w:r>
        <w:rPr>
          <w:rFonts w:hint="eastAsia" w:ascii="仿宋_GB2312" w:eastAsia="仿宋_GB2312"/>
          <w:color w:val="FF0000"/>
          <w:sz w:val="34"/>
          <w:szCs w:val="34"/>
          <w:lang w:val="en-US" w:eastAsia="zh-CN"/>
        </w:rPr>
        <w:t>10</w:t>
      </w:r>
      <w:r>
        <w:rPr>
          <w:rFonts w:hint="eastAsia" w:ascii="仿宋_GB2312" w:eastAsia="仿宋_GB2312"/>
          <w:color w:val="FF0000"/>
          <w:sz w:val="34"/>
          <w:szCs w:val="34"/>
          <w:lang w:eastAsia="zh-CN"/>
        </w:rPr>
        <w:t>月</w:t>
      </w:r>
      <w:r>
        <w:rPr>
          <w:rFonts w:hint="eastAsia" w:ascii="仿宋_GB2312" w:eastAsia="仿宋_GB2312"/>
          <w:color w:val="FF0000"/>
          <w:sz w:val="34"/>
          <w:szCs w:val="34"/>
          <w:lang w:val="en-US" w:eastAsia="zh-CN"/>
        </w:rPr>
        <w:t>28</w:t>
      </w:r>
      <w:r>
        <w:rPr>
          <w:rFonts w:hint="eastAsia" w:ascii="仿宋_GB2312" w:eastAsia="仿宋_GB2312"/>
          <w:color w:val="FF0000"/>
          <w:sz w:val="34"/>
          <w:szCs w:val="34"/>
          <w:lang w:eastAsia="zh-CN"/>
        </w:rPr>
        <w:t>日</w:t>
      </w:r>
    </w:p>
    <w:p w14:paraId="0C3FD6CD">
      <w:pPr>
        <w:numPr>
          <w:ilvl w:val="0"/>
          <w:numId w:val="0"/>
        </w:numPr>
        <w:spacing w:line="360" w:lineRule="auto"/>
        <w:ind w:firstLine="640" w:firstLineChars="200"/>
        <w:rPr>
          <w:rFonts w:hint="eastAsia" w:ascii="仿宋_GB2312" w:hAnsi="仿宋_GB2312" w:eastAsia="仿宋_GB2312" w:cs="仿宋_GB2312"/>
          <w:sz w:val="32"/>
          <w:szCs w:val="32"/>
          <w:lang w:eastAsia="zh-CN"/>
        </w:rPr>
      </w:pPr>
    </w:p>
    <w:p w14:paraId="65C8D213"/>
    <w:sectPr>
      <w:pgSz w:w="11906" w:h="16838"/>
      <w:pgMar w:top="215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2BB3A"/>
    <w:multiLevelType w:val="singleLevel"/>
    <w:tmpl w:val="8912BB3A"/>
    <w:lvl w:ilvl="0" w:tentative="0">
      <w:start w:val="3"/>
      <w:numFmt w:val="chineseCounting"/>
      <w:suff w:val="nothing"/>
      <w:lvlText w:val="%1、"/>
      <w:lvlJc w:val="left"/>
      <w:rPr>
        <w:rFonts w:hint="eastAsia"/>
      </w:rPr>
    </w:lvl>
  </w:abstractNum>
  <w:abstractNum w:abstractNumId="1">
    <w:nsid w:val="12A858A8"/>
    <w:multiLevelType w:val="singleLevel"/>
    <w:tmpl w:val="12A858A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FD0506"/>
    <w:rsid w:val="1B1E3CE1"/>
    <w:rsid w:val="30663651"/>
    <w:rsid w:val="37DE2D09"/>
    <w:rsid w:val="39C009B5"/>
    <w:rsid w:val="4BAA2A84"/>
    <w:rsid w:val="4F5F0947"/>
    <w:rsid w:val="51384450"/>
    <w:rsid w:val="61040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rPr>
      <w:rFonts w:eastAsia="黑体"/>
      <w:bCs/>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2025-02-10T01:39:00Z</dcterms:created>
  <dc:creator>sbk003</dc:creator>
  <cp:lastModifiedBy>郭伟国</cp:lastModifiedBy>
  <cp:lastPrinted>2025-02-10T01:57:00Z</cp:lastPrinted>
  <dcterms:modified xsi:type="dcterms:W3CDTF">2025-10-28T00:31:20Z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2FD1A10ED67E4C0EA015E8F2E75CB305_13</vt:lpwstr>
  </property>
</Properties>
</file>