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92DAB">
      <w:pPr>
        <w:spacing w:line="360" w:lineRule="exact"/>
        <w:rPr>
          <w:rFonts w:hint="eastAsia" w:eastAsia="等线"/>
          <w:sz w:val="36"/>
          <w:szCs w:val="36"/>
          <w:lang w:val="en-US" w:eastAsia="zh-CN"/>
        </w:rPr>
      </w:pPr>
      <w:r>
        <w:rPr>
          <w:rFonts w:hint="eastAsia" w:ascii="宋体" w:hAnsi="宋体" w:cs="宋体"/>
          <w:sz w:val="22"/>
          <w:lang w:eastAsia="zh-CN"/>
        </w:rPr>
        <w:t>合同编号：</w:t>
      </w:r>
    </w:p>
    <w:p w14:paraId="4E9C356A">
      <w:pPr>
        <w:ind w:left="21120" w:hanging="21120" w:hangingChars="2200"/>
        <w:jc w:val="center"/>
        <w:rPr>
          <w:rFonts w:hint="eastAsia"/>
          <w:sz w:val="96"/>
          <w:szCs w:val="96"/>
          <w:lang w:eastAsia="zh-CN"/>
        </w:rPr>
      </w:pPr>
    </w:p>
    <w:p w14:paraId="762AE009">
      <w:pPr>
        <w:ind w:left="21120" w:hanging="21120" w:hangingChars="2200"/>
        <w:jc w:val="center"/>
        <w:rPr>
          <w:rFonts w:hint="eastAsia" w:eastAsia="等线"/>
          <w:sz w:val="96"/>
          <w:szCs w:val="96"/>
          <w:lang w:eastAsia="zh-CN"/>
        </w:rPr>
      </w:pPr>
      <w:r>
        <w:rPr>
          <w:rFonts w:hint="eastAsia"/>
          <w:sz w:val="96"/>
          <w:szCs w:val="96"/>
          <w:lang w:eastAsia="zh-CN"/>
        </w:rPr>
        <w:t>合同</w:t>
      </w:r>
    </w:p>
    <w:p w14:paraId="373E1A22">
      <w:pPr>
        <w:ind w:left="21120" w:hanging="21120" w:hangingChars="2200"/>
        <w:jc w:val="center"/>
        <w:rPr>
          <w:sz w:val="96"/>
          <w:szCs w:val="96"/>
        </w:rPr>
      </w:pPr>
    </w:p>
    <w:p w14:paraId="5CE7DADE">
      <w:pPr>
        <w:rPr>
          <w:sz w:val="96"/>
          <w:szCs w:val="96"/>
        </w:rPr>
      </w:pPr>
    </w:p>
    <w:p w14:paraId="126D6284">
      <w:pPr>
        <w:rPr>
          <w:sz w:val="96"/>
          <w:szCs w:val="96"/>
        </w:rPr>
      </w:pPr>
    </w:p>
    <w:p w14:paraId="5A0D11DC">
      <w:pPr>
        <w:spacing w:line="600" w:lineRule="exact"/>
        <w:ind w:left="1800" w:hanging="1800" w:hangingChars="500"/>
        <w:rPr>
          <w:rFonts w:hint="eastAsia"/>
          <w:sz w:val="36"/>
          <w:szCs w:val="36"/>
          <w:lang w:eastAsia="zh-CN"/>
        </w:rPr>
      </w:pPr>
      <w:r>
        <w:rPr>
          <w:rFonts w:hint="eastAsia"/>
          <w:sz w:val="36"/>
          <w:szCs w:val="36"/>
        </w:rPr>
        <w:t xml:space="preserve">项目名称： </w:t>
      </w:r>
      <w:r>
        <w:rPr>
          <w:rFonts w:hint="eastAsia"/>
          <w:sz w:val="36"/>
          <w:szCs w:val="36"/>
          <w:lang w:eastAsia="zh-CN"/>
        </w:rPr>
        <w:t>台山市妇幼保健院</w:t>
      </w:r>
      <w:r>
        <w:rPr>
          <w:rFonts w:hint="eastAsia"/>
          <w:sz w:val="36"/>
          <w:szCs w:val="36"/>
          <w:lang w:val="en-US" w:eastAsia="zh-CN"/>
        </w:rPr>
        <w:t>便携式超声诊断仪</w:t>
      </w:r>
      <w:r>
        <w:rPr>
          <w:rFonts w:hint="eastAsia"/>
          <w:sz w:val="36"/>
          <w:szCs w:val="36"/>
          <w:lang w:eastAsia="zh-CN"/>
        </w:rPr>
        <w:t>采购项目</w:t>
      </w:r>
    </w:p>
    <w:p w14:paraId="6F147E00">
      <w:pPr>
        <w:spacing w:line="600" w:lineRule="exact"/>
        <w:ind w:left="1800" w:hanging="1800" w:hangingChars="500"/>
        <w:rPr>
          <w:rFonts w:hint="default"/>
          <w:sz w:val="36"/>
          <w:szCs w:val="36"/>
          <w:lang w:val="en-US" w:eastAsia="zh-CN"/>
        </w:rPr>
      </w:pPr>
      <w:r>
        <w:rPr>
          <w:rFonts w:hint="eastAsia"/>
          <w:sz w:val="36"/>
          <w:szCs w:val="36"/>
          <w:lang w:eastAsia="zh-CN"/>
        </w:rPr>
        <w:t>采购编号：</w:t>
      </w:r>
      <w:r>
        <w:rPr>
          <w:rFonts w:hint="eastAsia"/>
          <w:sz w:val="36"/>
          <w:szCs w:val="36"/>
          <w:lang w:val="en-US" w:eastAsia="zh-CN"/>
        </w:rPr>
        <w:t xml:space="preserve"> ID54651</w:t>
      </w:r>
    </w:p>
    <w:p w14:paraId="61C3CDFD">
      <w:pPr>
        <w:spacing w:line="600" w:lineRule="exact"/>
        <w:ind w:left="7920" w:hanging="7920" w:hangingChars="2200"/>
        <w:rPr>
          <w:sz w:val="36"/>
          <w:szCs w:val="36"/>
        </w:rPr>
      </w:pPr>
      <w:r>
        <w:rPr>
          <w:rFonts w:hint="eastAsia"/>
          <w:sz w:val="36"/>
          <w:szCs w:val="36"/>
        </w:rPr>
        <w:t>供应商：</w:t>
      </w:r>
    </w:p>
    <w:p w14:paraId="466339F4">
      <w:pPr>
        <w:spacing w:line="600" w:lineRule="exact"/>
        <w:ind w:left="7920" w:hanging="7920" w:hangingChars="2200"/>
        <w:rPr>
          <w:sz w:val="36"/>
          <w:szCs w:val="36"/>
        </w:rPr>
      </w:pPr>
      <w:r>
        <w:rPr>
          <w:rFonts w:hint="eastAsia"/>
          <w:sz w:val="36"/>
          <w:szCs w:val="36"/>
        </w:rPr>
        <w:t>地址：</w:t>
      </w:r>
    </w:p>
    <w:p w14:paraId="6EC92D35">
      <w:pPr>
        <w:spacing w:line="600" w:lineRule="exact"/>
        <w:rPr>
          <w:rFonts w:hint="eastAsia"/>
          <w:sz w:val="36"/>
          <w:szCs w:val="36"/>
        </w:rPr>
      </w:pPr>
      <w:r>
        <w:rPr>
          <w:rFonts w:hint="eastAsia"/>
          <w:sz w:val="36"/>
          <w:szCs w:val="36"/>
        </w:rPr>
        <w:t>日期：</w:t>
      </w:r>
    </w:p>
    <w:p w14:paraId="20BB4E2E">
      <w:pPr>
        <w:spacing w:line="600" w:lineRule="exact"/>
        <w:rPr>
          <w:rFonts w:hint="eastAsia"/>
          <w:sz w:val="36"/>
          <w:szCs w:val="36"/>
        </w:rPr>
      </w:pPr>
    </w:p>
    <w:p w14:paraId="503F1348">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一、货物内容</w:t>
      </w:r>
    </w:p>
    <w:tbl>
      <w:tblPr>
        <w:tblStyle w:val="4"/>
        <w:tblpPr w:leftFromText="180" w:rightFromText="180" w:vertAnchor="text" w:horzAnchor="page" w:tblpX="1990"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887"/>
        <w:gridCol w:w="1330"/>
        <w:gridCol w:w="628"/>
        <w:gridCol w:w="634"/>
        <w:gridCol w:w="1438"/>
        <w:gridCol w:w="1511"/>
      </w:tblGrid>
      <w:tr w14:paraId="0402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94" w:type="dxa"/>
            <w:noWrap w:val="0"/>
            <w:vAlign w:val="center"/>
          </w:tcPr>
          <w:p w14:paraId="1CCB0B8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887" w:type="dxa"/>
            <w:noWrap w:val="0"/>
            <w:vAlign w:val="center"/>
          </w:tcPr>
          <w:p w14:paraId="05AE19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品牌、规格、标准/主要服务内容</w:t>
            </w:r>
          </w:p>
        </w:tc>
        <w:tc>
          <w:tcPr>
            <w:tcW w:w="1330" w:type="dxa"/>
            <w:noWrap w:val="0"/>
            <w:vAlign w:val="center"/>
          </w:tcPr>
          <w:p w14:paraId="38F4D8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产地</w:t>
            </w:r>
          </w:p>
        </w:tc>
        <w:tc>
          <w:tcPr>
            <w:tcW w:w="628" w:type="dxa"/>
            <w:noWrap w:val="0"/>
            <w:vAlign w:val="center"/>
          </w:tcPr>
          <w:p w14:paraId="35B86B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634" w:type="dxa"/>
            <w:noWrap w:val="0"/>
            <w:vAlign w:val="center"/>
          </w:tcPr>
          <w:p w14:paraId="432CBC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1438" w:type="dxa"/>
            <w:noWrap w:val="0"/>
            <w:vAlign w:val="center"/>
          </w:tcPr>
          <w:p w14:paraId="46C3F6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单价</w:t>
            </w:r>
          </w:p>
          <w:p w14:paraId="0CF366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（元）</w:t>
            </w:r>
          </w:p>
        </w:tc>
        <w:tc>
          <w:tcPr>
            <w:tcW w:w="1511" w:type="dxa"/>
            <w:noWrap w:val="0"/>
            <w:vAlign w:val="center"/>
          </w:tcPr>
          <w:p w14:paraId="66464A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金额</w:t>
            </w:r>
          </w:p>
          <w:p w14:paraId="04F7F7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（元）</w:t>
            </w:r>
          </w:p>
        </w:tc>
      </w:tr>
      <w:tr w14:paraId="7BE6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94" w:type="dxa"/>
            <w:noWrap w:val="0"/>
            <w:vAlign w:val="center"/>
          </w:tcPr>
          <w:p w14:paraId="51C5C7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highlight w:val="none"/>
              </w:rPr>
            </w:pPr>
            <w:r>
              <w:rPr>
                <w:rFonts w:hint="eastAsia" w:ascii="仿宋" w:hAnsi="仿宋" w:eastAsia="仿宋" w:cs="Cabin-Regular"/>
                <w:color w:val="FF0000"/>
                <w:kern w:val="0"/>
                <w:sz w:val="32"/>
                <w:szCs w:val="32"/>
                <w:lang w:val="en-US" w:eastAsia="zh-CN"/>
              </w:rPr>
              <w:t>便携式超声诊断仪</w:t>
            </w:r>
          </w:p>
        </w:tc>
        <w:tc>
          <w:tcPr>
            <w:tcW w:w="1887" w:type="dxa"/>
            <w:noWrap w:val="0"/>
            <w:vAlign w:val="center"/>
          </w:tcPr>
          <w:p w14:paraId="18FD12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以中标供应商的投标文件为准</w:t>
            </w:r>
          </w:p>
        </w:tc>
        <w:tc>
          <w:tcPr>
            <w:tcW w:w="1330" w:type="dxa"/>
            <w:noWrap w:val="0"/>
            <w:vAlign w:val="center"/>
          </w:tcPr>
          <w:p w14:paraId="3B4C91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以中标供应商的投标文件为准</w:t>
            </w:r>
          </w:p>
        </w:tc>
        <w:tc>
          <w:tcPr>
            <w:tcW w:w="628" w:type="dxa"/>
            <w:noWrap w:val="0"/>
            <w:vAlign w:val="center"/>
          </w:tcPr>
          <w:p w14:paraId="42F7A2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rPr>
              <w:t xml:space="preserve"> </w:t>
            </w:r>
          </w:p>
        </w:tc>
        <w:tc>
          <w:tcPr>
            <w:tcW w:w="634" w:type="dxa"/>
            <w:noWrap w:val="0"/>
            <w:vAlign w:val="center"/>
          </w:tcPr>
          <w:p w14:paraId="68E8ED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highlight w:val="none"/>
                <w:lang w:eastAsia="zh-CN"/>
              </w:rPr>
            </w:pPr>
            <w:r>
              <w:rPr>
                <w:rFonts w:hint="eastAsia" w:ascii="仿宋" w:hAnsi="仿宋" w:eastAsia="仿宋" w:cs="仿宋"/>
                <w:color w:val="FF0000"/>
                <w:sz w:val="28"/>
                <w:szCs w:val="28"/>
                <w:highlight w:val="none"/>
                <w:lang w:val="en-US" w:eastAsia="zh-CN"/>
              </w:rPr>
              <w:t>台</w:t>
            </w:r>
          </w:p>
        </w:tc>
        <w:tc>
          <w:tcPr>
            <w:tcW w:w="1438" w:type="dxa"/>
            <w:noWrap w:val="0"/>
            <w:vAlign w:val="center"/>
          </w:tcPr>
          <w:p w14:paraId="669521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以中标供应商的投标文件为准</w:t>
            </w:r>
          </w:p>
        </w:tc>
        <w:tc>
          <w:tcPr>
            <w:tcW w:w="1511" w:type="dxa"/>
            <w:noWrap w:val="0"/>
            <w:vAlign w:val="center"/>
          </w:tcPr>
          <w:p w14:paraId="4F0325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以中标供应商的投标文件为准</w:t>
            </w:r>
          </w:p>
        </w:tc>
      </w:tr>
    </w:tbl>
    <w:p w14:paraId="7860AE60">
      <w:pPr>
        <w:jc w:val="center"/>
        <w:rPr>
          <w:rFonts w:hint="eastAsia" w:ascii="仿宋" w:hAnsi="仿宋" w:eastAsia="仿宋" w:cs="仿宋"/>
          <w:color w:val="auto"/>
          <w:sz w:val="28"/>
          <w:szCs w:val="28"/>
          <w:highlight w:val="none"/>
        </w:rPr>
      </w:pPr>
    </w:p>
    <w:p w14:paraId="364851A1">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合同总额包括乙方设计、安装、随机零配件、标配工具、运输保险、调试、培训、质保期服务、各项税费及合同实施过程中不可预见费用等。</w:t>
      </w:r>
    </w:p>
    <w:p w14:paraId="1064584D">
      <w:pPr>
        <w:ind w:firstLine="812" w:firstLineChars="29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注：货物名称内容必须与投标文件中货物名称内容一致。</w:t>
      </w:r>
    </w:p>
    <w:p w14:paraId="44795F58">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二、合同金额</w:t>
      </w:r>
    </w:p>
    <w:p w14:paraId="2DE79EA5">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合同金额为（大写）：_________________元（￥_______________元）人民币。</w:t>
      </w:r>
    </w:p>
    <w:p w14:paraId="4F42F272">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三、设备要求</w:t>
      </w:r>
    </w:p>
    <w:p w14:paraId="15FE3D28">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货物为原制造商制造的全新产品，整机无污染，无侵权行为、表面无划损、无任何缺陷隐患，在中国境内可依常规安全合法使用。</w:t>
      </w:r>
    </w:p>
    <w:p w14:paraId="249E70AB">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四、交货期、交货方式及交货地点</w:t>
      </w:r>
    </w:p>
    <w:p w14:paraId="1E4D635E">
      <w:pPr>
        <w:ind w:firstLine="560" w:firstLineChars="200"/>
        <w:jc w:val="both"/>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1.交货期：合同生效之日起</w:t>
      </w:r>
      <w:r>
        <w:rPr>
          <w:rFonts w:hint="eastAsia" w:ascii="仿宋" w:hAnsi="仿宋" w:eastAsia="仿宋" w:cs="仿宋"/>
          <w:b w:val="0"/>
          <w:bCs/>
          <w:color w:val="auto"/>
          <w:sz w:val="28"/>
          <w:szCs w:val="28"/>
          <w:highlight w:val="none"/>
          <w:lang w:val="en-US" w:eastAsia="zh-CN"/>
        </w:rPr>
        <w:t>30</w:t>
      </w:r>
      <w:r>
        <w:rPr>
          <w:rFonts w:hint="eastAsia" w:ascii="仿宋" w:hAnsi="仿宋" w:eastAsia="仿宋" w:cs="仿宋"/>
          <w:b w:val="0"/>
          <w:bCs/>
          <w:color w:val="auto"/>
          <w:sz w:val="28"/>
          <w:szCs w:val="28"/>
          <w:highlight w:val="none"/>
        </w:rPr>
        <w:t>个日历日内。（包括货物的安装、调试及验收）。</w:t>
      </w:r>
    </w:p>
    <w:p w14:paraId="099D2D1A">
      <w:pPr>
        <w:ind w:firstLine="560" w:firstLineChars="200"/>
        <w:jc w:val="both"/>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2.交货方式：送货上门</w:t>
      </w:r>
    </w:p>
    <w:p w14:paraId="56379B76">
      <w:pPr>
        <w:ind w:firstLine="560" w:firstLineChars="200"/>
        <w:jc w:val="both"/>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3.交货地点：</w:t>
      </w:r>
      <w:r>
        <w:rPr>
          <w:rFonts w:hint="eastAsia" w:ascii="仿宋" w:hAnsi="仿宋" w:eastAsia="仿宋" w:cs="仿宋"/>
          <w:b w:val="0"/>
          <w:bCs/>
          <w:color w:val="auto"/>
          <w:sz w:val="28"/>
          <w:szCs w:val="28"/>
          <w:highlight w:val="none"/>
          <w:lang w:eastAsia="zh-CN"/>
        </w:rPr>
        <w:t>台山市妇幼保健院</w:t>
      </w:r>
      <w:r>
        <w:rPr>
          <w:rFonts w:hint="eastAsia" w:ascii="仿宋" w:hAnsi="仿宋" w:eastAsia="仿宋" w:cs="仿宋"/>
          <w:b w:val="0"/>
          <w:bCs/>
          <w:color w:val="auto"/>
          <w:sz w:val="28"/>
          <w:szCs w:val="28"/>
          <w:highlight w:val="none"/>
        </w:rPr>
        <w:t>（以甲方实际要求为准）</w:t>
      </w:r>
    </w:p>
    <w:p w14:paraId="27BF18A7">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五、付款方式</w:t>
      </w:r>
    </w:p>
    <w:p w14:paraId="68A2F7C5">
      <w:pPr>
        <w:ind w:firstLine="640" w:firstLineChars="20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FF0000"/>
          <w:sz w:val="32"/>
          <w:szCs w:val="32"/>
        </w:rPr>
        <w:t>设备</w:t>
      </w:r>
      <w:r>
        <w:rPr>
          <w:rFonts w:hint="eastAsia" w:ascii="仿宋_GB2312" w:hAnsi="仿宋_GB2312" w:eastAsia="仿宋_GB2312" w:cs="仿宋_GB2312"/>
          <w:color w:val="FF0000"/>
          <w:sz w:val="32"/>
          <w:szCs w:val="32"/>
          <w:lang w:eastAsia="zh-CN"/>
        </w:rPr>
        <w:t>货款</w:t>
      </w:r>
      <w:r>
        <w:rPr>
          <w:rFonts w:hint="eastAsia" w:ascii="仿宋_GB2312" w:hAnsi="仿宋_GB2312" w:eastAsia="仿宋_GB2312" w:cs="仿宋_GB2312"/>
          <w:color w:val="FF0000"/>
          <w:sz w:val="32"/>
          <w:szCs w:val="32"/>
        </w:rPr>
        <w:t>分三期支付货款，合同签订生效后的30个工作日，支付合同总金额的30%；安装调试完毕并验收合格、入库后的</w:t>
      </w:r>
      <w:r>
        <w:rPr>
          <w:rFonts w:hint="eastAsia" w:ascii="仿宋_GB2312" w:hAnsi="仿宋_GB2312" w:eastAsia="仿宋_GB2312" w:cs="仿宋_GB2312"/>
          <w:color w:val="FF0000"/>
          <w:sz w:val="32"/>
          <w:szCs w:val="32"/>
          <w:lang w:eastAsia="zh-CN"/>
        </w:rPr>
        <w:t>三个月内</w:t>
      </w:r>
      <w:r>
        <w:rPr>
          <w:rFonts w:hint="eastAsia" w:ascii="仿宋_GB2312" w:hAnsi="仿宋_GB2312" w:eastAsia="仿宋_GB2312" w:cs="仿宋_GB2312"/>
          <w:color w:val="FF0000"/>
          <w:sz w:val="32"/>
          <w:szCs w:val="32"/>
        </w:rPr>
        <w:t>，将支付合同总金额的</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0%；合同签订生效十八个月后，确认无其它扣款事项后30个工作日，将支付余下款项（合同总金额的</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0%）。</w:t>
      </w:r>
    </w:p>
    <w:p w14:paraId="626BBB1B">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六、质保期及售后服务要求</w:t>
      </w:r>
    </w:p>
    <w:p w14:paraId="4F87BD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整机(含所有零配件)</w:t>
      </w:r>
      <w:r>
        <w:rPr>
          <w:rFonts w:hint="eastAsia" w:ascii="仿宋_GB2312" w:hAnsi="仿宋_GB2312" w:eastAsia="仿宋_GB2312" w:cs="仿宋_GB2312"/>
          <w:color w:val="FF0000"/>
          <w:sz w:val="32"/>
          <w:szCs w:val="32"/>
        </w:rPr>
        <w:t>原厂保修期至少</w:t>
      </w:r>
      <w:r>
        <w:rPr>
          <w:rFonts w:hint="eastAsia" w:ascii="仿宋_GB2312" w:hAnsi="仿宋_GB2312" w:eastAsia="仿宋_GB2312" w:cs="仿宋_GB2312"/>
          <w:color w:val="FF0000"/>
          <w:sz w:val="32"/>
          <w:szCs w:val="32"/>
          <w:lang w:val="en-US" w:eastAsia="zh-CN"/>
        </w:rPr>
        <w:t>三</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（在保修期内维修时提供的设备零配件须为原厂生产的合格产品），人为因素</w:t>
      </w:r>
      <w:r>
        <w:rPr>
          <w:rFonts w:hint="eastAsia" w:ascii="仿宋_GB2312" w:hAnsi="仿宋_GB2312" w:eastAsia="仿宋_GB2312" w:cs="仿宋_GB2312"/>
          <w:sz w:val="32"/>
          <w:szCs w:val="32"/>
          <w:lang w:eastAsia="zh-CN"/>
        </w:rPr>
        <w:t>除外</w:t>
      </w:r>
      <w:r>
        <w:rPr>
          <w:rFonts w:hint="eastAsia" w:ascii="仿宋_GB2312" w:hAnsi="仿宋_GB2312" w:eastAsia="仿宋_GB2312" w:cs="仿宋_GB2312"/>
          <w:sz w:val="32"/>
          <w:szCs w:val="32"/>
        </w:rPr>
        <w:t>。乙方需提供设备生产商或国内总代理上述保修方案的服务书。</w:t>
      </w:r>
    </w:p>
    <w:p w14:paraId="5B79F007">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p>
    <w:p w14:paraId="2534337E">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w:t>
      </w:r>
    </w:p>
    <w:p w14:paraId="36DFA9B8">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七、安装与调试</w:t>
      </w:r>
    </w:p>
    <w:p w14:paraId="27EAAF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32"/>
          <w:szCs w:val="32"/>
        </w:rPr>
        <w:t>投标人须提供所投产品完整的配置清单。培训要求：中标人负责培训采购人有关技术人员，直至掌握操作技术为止。在仪器正常使用期间，中标人须负责该设备的技术咨询。</w:t>
      </w:r>
    </w:p>
    <w:p w14:paraId="3D8D960F">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八、验收：</w:t>
      </w:r>
    </w:p>
    <w:p w14:paraId="6F516D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验收时间：设备安装调试完毕后并试用一周后进行，中标人应提交相应的验收资料协助采购人进行验收。</w:t>
      </w:r>
    </w:p>
    <w:p w14:paraId="287329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验收方法：由采购人使用部门人员、医疗器械工程师及中标人相关人员共同对设备产品质量和技术指标进行检验。</w:t>
      </w:r>
    </w:p>
    <w:p w14:paraId="1989FD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r>
        <w:rPr>
          <w:rFonts w:hint="eastAsia" w:ascii="仿宋_GB2312" w:hAnsi="仿宋_GB2312" w:eastAsia="仿宋_GB2312" w:cs="仿宋_GB2312"/>
          <w:sz w:val="32"/>
          <w:szCs w:val="32"/>
          <w:lang w:eastAsia="zh-CN"/>
        </w:rPr>
        <w:t>：</w:t>
      </w:r>
    </w:p>
    <w:p w14:paraId="69364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FF0000"/>
          <w:sz w:val="32"/>
          <w:szCs w:val="32"/>
        </w:rPr>
        <w:t>中标人提供的设备必须是全新的，出厂日期不超过</w:t>
      </w:r>
      <w:r>
        <w:rPr>
          <w:rFonts w:hint="eastAsia" w:ascii="仿宋_GB2312" w:hAnsi="仿宋_GB2312" w:eastAsia="仿宋_GB2312" w:cs="仿宋_GB2312"/>
          <w:color w:val="FF0000"/>
          <w:sz w:val="32"/>
          <w:szCs w:val="32"/>
          <w:lang w:eastAsia="zh-CN"/>
        </w:rPr>
        <w:t>半</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且交</w:t>
      </w:r>
      <w:bookmarkEnd w:id="0"/>
      <w:r>
        <w:rPr>
          <w:rFonts w:hint="eastAsia" w:ascii="仿宋_GB2312" w:hAnsi="仿宋_GB2312" w:eastAsia="仿宋_GB2312" w:cs="仿宋_GB2312"/>
          <w:sz w:val="32"/>
          <w:szCs w:val="32"/>
        </w:rPr>
        <w:t>付时原厂包装完好，无任何质量缺陷；设备中所装的软件必须是最新的版本。</w:t>
      </w:r>
    </w:p>
    <w:p w14:paraId="71D691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中标人随设备提供设备的中文说明书、中文使用手册</w:t>
      </w:r>
      <w:r>
        <w:rPr>
          <w:rFonts w:hint="eastAsia" w:ascii="仿宋_GB2312" w:hAnsi="仿宋_GB2312" w:eastAsia="仿宋_GB2312" w:cs="仿宋_GB2312"/>
          <w:sz w:val="32"/>
          <w:szCs w:val="32"/>
          <w:lang w:eastAsia="zh-CN"/>
        </w:rPr>
        <w:t>。</w:t>
      </w:r>
    </w:p>
    <w:p w14:paraId="09AA16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安装调试完毕后，所有设备必须能保证能正常运行并满足采购人购买时所声明的使用需求。</w:t>
      </w:r>
    </w:p>
    <w:p w14:paraId="7041D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4.最终验收方式：安装完毕后，由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组织验收，设备参数与合同一致，设备质量、服务内容达到合同要求；验收时如发现与采购合同条款不符的货物时，</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提出异议，</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应无条件更换。若</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交货期内无法提供符合采购合同条款的货物，甲方有权单方面解除合同并追究乙方违约责任。</w:t>
      </w:r>
    </w:p>
    <w:p w14:paraId="625BDDF2">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九、违约责任与赔偿损失</w:t>
      </w:r>
    </w:p>
    <w:p w14:paraId="213D855E">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1.乙方交付的货物、工程/提供的服务不符合本合同规定的，甲方有权拒收，并且乙方须向甲方支付本合同总价5%的违约金。</w:t>
      </w:r>
    </w:p>
    <w:p w14:paraId="52C41275">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未能按本合同规定的交货时间交付货物的/提供服务，从逾期之日起每日按本合同总价1‰的数额向甲方支付违约金；逾期半个月以上的，或合同履行期间未能提供售后服务、或逾期响应售后服务的次数累计达到3次及以上的，甲方有权单方面解除合同，乙方须向甲方返还已支付的全部费用及一次性支付合同总价的30%作为违约金，违约金不足以弥补甲方损失的，乙方应当补充赔偿甲方的损失。</w:t>
      </w:r>
    </w:p>
    <w:p w14:paraId="09819B82">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3.甲方无正当理由拒收货物/接受服务，到期拒付货物/服务款项的，甲方向乙方偿付本合同总的5%的违约金。甲方人逾期付款，则每日按本合同总价的1‰向乙方偿付违约金。</w:t>
      </w:r>
    </w:p>
    <w:p w14:paraId="5D0388D1">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4.对于因甲方原因导致变更、中止或者终止政府采购合同的，甲方应当依照以下合同约定对供应商受到的损失予以赔偿或者补偿：</w:t>
      </w:r>
    </w:p>
    <w:p w14:paraId="711932F7">
      <w:pPr>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p>
    <w:p w14:paraId="3E0F6B92">
      <w:pPr>
        <w:ind w:firstLine="560" w:firstLineChars="200"/>
        <w:jc w:val="both"/>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5.其它违约责任按《中华人民共和国民法典(合同编)》处理。</w:t>
      </w:r>
    </w:p>
    <w:p w14:paraId="5A880608">
      <w:pPr>
        <w:ind w:firstLine="562" w:firstLineChars="200"/>
        <w:jc w:val="both"/>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十、争议的解决</w:t>
      </w:r>
      <w:r>
        <w:rPr>
          <w:rFonts w:hint="eastAsia" w:ascii="仿宋" w:hAnsi="仿宋" w:eastAsia="仿宋" w:cs="仿宋"/>
          <w:color w:val="auto"/>
          <w:sz w:val="28"/>
          <w:szCs w:val="28"/>
          <w:highlight w:val="none"/>
        </w:rPr>
        <w:t xml:space="preserve">  合同执行过程中发生的任何争议，如双方不能通过友好协商解决，可向</w:t>
      </w:r>
      <w:r>
        <w:rPr>
          <w:rFonts w:hint="eastAsia" w:ascii="仿宋" w:hAnsi="仿宋" w:eastAsia="仿宋" w:cs="仿宋"/>
          <w:color w:val="auto"/>
          <w:sz w:val="28"/>
          <w:szCs w:val="28"/>
          <w:highlight w:val="none"/>
          <w:lang w:val="en-US" w:eastAsia="zh-CN"/>
        </w:rPr>
        <w:t>甲方所在地</w:t>
      </w:r>
      <w:r>
        <w:rPr>
          <w:rFonts w:hint="eastAsia" w:ascii="仿宋" w:hAnsi="仿宋" w:eastAsia="仿宋" w:cs="仿宋"/>
          <w:color w:val="auto"/>
          <w:sz w:val="28"/>
          <w:szCs w:val="28"/>
          <w:highlight w:val="none"/>
        </w:rPr>
        <w:t>人民法院提起诉讼。</w:t>
      </w:r>
    </w:p>
    <w:p w14:paraId="461D7A92">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十一、不可抗力</w:t>
      </w:r>
    </w:p>
    <w:p w14:paraId="7F16C886">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2F55765">
      <w:pPr>
        <w:ind w:firstLine="562" w:firstLineChars="200"/>
        <w:jc w:val="both"/>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十二、税费</w:t>
      </w:r>
    </w:p>
    <w:p w14:paraId="54D3E80A">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1.在中国境内、外发生的与本合同执行有关的一切税费均由乙方负担。</w:t>
      </w:r>
    </w:p>
    <w:p w14:paraId="4B824B62">
      <w:pPr>
        <w:ind w:firstLine="562" w:firstLineChars="200"/>
        <w:jc w:val="both"/>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知识产权归属</w:t>
      </w:r>
    </w:p>
    <w:p w14:paraId="78DE94EA">
      <w:pPr>
        <w:ind w:firstLine="560" w:firstLineChars="200"/>
        <w:jc w:val="both"/>
        <w:rPr>
          <w:rFonts w:hint="eastAsia"/>
          <w:color w:val="auto"/>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9E1B907">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其它</w:t>
      </w:r>
    </w:p>
    <w:p w14:paraId="020E5F90">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1.本合同所有附件、招标文件、投标文件、中标通知书均为合同的有效组成部分，与本合同具有同等法律效力。</w:t>
      </w:r>
    </w:p>
    <w:p w14:paraId="2EF639D5">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2.在执行本合同的过程中，所有经双方签署确认的文件（包括会议纪要、补充协议、往来信函）即成为本合同的有效组成部分。</w:t>
      </w:r>
    </w:p>
    <w:p w14:paraId="183EFB68">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3.如一方地址、电话、传真号码有变更，应在变更当日内书面通知对方，否则，应承担相应责任。</w:t>
      </w:r>
    </w:p>
    <w:p w14:paraId="52E02C5D">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4.除甲方事先书面同意外，乙方不得部分或全部转让其应履行的合同项下的义务。</w:t>
      </w:r>
    </w:p>
    <w:p w14:paraId="073009B9">
      <w:pPr>
        <w:ind w:firstLine="562" w:firstLineChars="200"/>
        <w:jc w:val="both"/>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、合同生效</w:t>
      </w:r>
    </w:p>
    <w:p w14:paraId="2B40D1CB">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1.本合同在甲乙双方法人代表或其授权代表签字盖章后生效。</w:t>
      </w:r>
    </w:p>
    <w:p w14:paraId="058952C9">
      <w:pPr>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14:paraId="1E4817E5">
      <w:pPr>
        <w:pStyle w:val="2"/>
        <w:rPr>
          <w:rFonts w:hint="eastAsia"/>
          <w:color w:val="auto"/>
          <w:highlight w:val="none"/>
        </w:rPr>
      </w:pPr>
    </w:p>
    <w:p w14:paraId="304F5413">
      <w:pPr>
        <w:spacing w:line="480" w:lineRule="exact"/>
        <w:jc w:val="left"/>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eastAsia="zh-CN"/>
        </w:rPr>
        <w:t>甲乙双方其它约定</w:t>
      </w:r>
    </w:p>
    <w:p w14:paraId="52FCCC1D">
      <w:pPr>
        <w:pStyle w:val="3"/>
        <w:spacing w:before="0" w:beforeAutospacing="0" w:after="0" w:afterAutospacing="0" w:line="360" w:lineRule="auto"/>
        <w:ind w:firstLine="42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须有属本公司的可随时上门作维修及检测的工程师，</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须全天候2小时内电话响应，并在接到</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通知后的2小时内抵达故障现场（包括节假日）；</w:t>
      </w:r>
    </w:p>
    <w:p w14:paraId="6C55B11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须自验收合格之日起负责免费保修不低于</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年，保证保修期内为</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提供服务的工程师需取得所投产品的专业认证，每年提供不少于4次上门保养服务，并按保养规范提供服务内容，包括设备清洁、性能测试及校准、必要的机械或电气的检查，以及非紧急性质的补救性维修，并定期对设备的数据进行备份，确保系统能按照制造商的产品规格运行的标准来维修，并提供符合原厂技术要求的保养报告,若招标文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的推广文件、澄清文件无特别说明，所有费用由</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负责，</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确保每年故障停机不超过１８天(开机率能达到95%或以上)，否则每超过１天保修期后延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天；</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终身提供技术咨询及设备维护，保修期外故障维修只收取零配件费用；</w:t>
      </w:r>
    </w:p>
    <w:p w14:paraId="1D1C6A59">
      <w:pPr>
        <w:pStyle w:val="3"/>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负责免费现场培训</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有关操作人员，直至掌握一级养护和操作技术为止，必须提供快速操作指南及养护手册(中文)纸质及电子版。</w:t>
      </w:r>
    </w:p>
    <w:p w14:paraId="389A207D">
      <w:pPr>
        <w:pStyle w:val="3"/>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4、若须消毒灭菌的，</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必须免费现场培训</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有关操作人员，直至掌握消毒灭菌技术为止，必须提供消毒灭菌指南(中文)纸质及电子版。</w:t>
      </w:r>
    </w:p>
    <w:p w14:paraId="4F4CBC46">
      <w:pPr>
        <w:pStyle w:val="3"/>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5、</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负责免费现场培训</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有关临床工程技术人员，直至掌握基本的日常维护及常见故障的排除为止，必须提供完整的维护维修手册及错误代码表。</w:t>
      </w:r>
    </w:p>
    <w:p w14:paraId="322BF916">
      <w:pPr>
        <w:pStyle w:val="3"/>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6、若含有计算机软件的，必须提供各项权限的密码及系统备份。</w:t>
      </w:r>
    </w:p>
    <w:p w14:paraId="70D621DE">
      <w:pPr>
        <w:pStyle w:val="3"/>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7、</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保证配合保养计划，针对产品的外部环境、主要参数与性能做质量评估，从而减少机器非正常停机的风险，提高设备的开机率，及时排除安全隐患，需要</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整改的必须及时书面提出整改方案。</w:t>
      </w:r>
    </w:p>
    <w:p w14:paraId="0B9FDA48">
      <w:pPr>
        <w:spacing w:line="48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bidi="ar"/>
        </w:rPr>
        <w:t xml:space="preserve">    8、乙方必须提供设备维修和维护的历史记录服务报告。</w:t>
      </w:r>
      <w:r>
        <w:rPr>
          <w:rFonts w:hint="eastAsia" w:ascii="仿宋" w:hAnsi="仿宋" w:eastAsia="仿宋" w:cs="仿宋"/>
          <w:color w:val="auto"/>
          <w:kern w:val="0"/>
          <w:sz w:val="28"/>
          <w:szCs w:val="28"/>
          <w:highlight w:val="none"/>
        </w:rPr>
        <w:br w:type="page"/>
      </w:r>
    </w:p>
    <w:p w14:paraId="25F8DEC7">
      <w:pPr>
        <w:spacing w:line="480" w:lineRule="exact"/>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：维保及培训计划书</w:t>
      </w:r>
    </w:p>
    <w:tbl>
      <w:tblPr>
        <w:tblStyle w:val="5"/>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160"/>
        <w:gridCol w:w="2491"/>
        <w:gridCol w:w="1623"/>
      </w:tblGrid>
      <w:tr w14:paraId="1F4B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Borders>
              <w:top w:val="single" w:color="auto" w:sz="4" w:space="0"/>
              <w:left w:val="single" w:color="auto" w:sz="4" w:space="0"/>
              <w:bottom w:val="single" w:color="auto" w:sz="4" w:space="0"/>
              <w:right w:val="single" w:color="auto" w:sz="4" w:space="0"/>
            </w:tcBorders>
            <w:noWrap w:val="0"/>
            <w:vAlign w:val="top"/>
          </w:tcPr>
          <w:p w14:paraId="1C7BB6D2">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计划日期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3637A97">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技术员</w:t>
            </w:r>
          </w:p>
        </w:tc>
        <w:tc>
          <w:tcPr>
            <w:tcW w:w="2491" w:type="dxa"/>
            <w:tcBorders>
              <w:top w:val="single" w:color="auto" w:sz="4" w:space="0"/>
              <w:left w:val="single" w:color="auto" w:sz="4" w:space="0"/>
              <w:bottom w:val="single" w:color="auto" w:sz="4" w:space="0"/>
              <w:right w:val="single" w:color="auto" w:sz="4" w:space="0"/>
            </w:tcBorders>
            <w:noWrap w:val="0"/>
            <w:vAlign w:val="top"/>
          </w:tcPr>
          <w:p w14:paraId="4D12455E">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维保内容</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7D462F92">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tc>
      </w:tr>
      <w:tr w14:paraId="6F39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Borders>
              <w:top w:val="single" w:color="auto" w:sz="4" w:space="0"/>
              <w:left w:val="single" w:color="auto" w:sz="4" w:space="0"/>
              <w:bottom w:val="single" w:color="auto" w:sz="4" w:space="0"/>
              <w:right w:val="single" w:color="auto" w:sz="4" w:space="0"/>
            </w:tcBorders>
            <w:noWrap w:val="0"/>
            <w:vAlign w:val="top"/>
          </w:tcPr>
          <w:p w14:paraId="2F03EC27">
            <w:pPr>
              <w:spacing w:line="480" w:lineRule="exact"/>
              <w:jc w:val="left"/>
              <w:rPr>
                <w:rFonts w:hint="eastAsia" w:ascii="仿宋" w:hAnsi="仿宋" w:eastAsia="仿宋" w:cs="仿宋"/>
                <w:color w:val="auto"/>
                <w:kern w:val="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8DC561A">
            <w:pPr>
              <w:spacing w:line="480" w:lineRule="exact"/>
              <w:jc w:val="left"/>
              <w:rPr>
                <w:rFonts w:hint="eastAsia" w:ascii="仿宋" w:hAnsi="仿宋" w:eastAsia="仿宋" w:cs="仿宋"/>
                <w:color w:val="auto"/>
                <w:kern w:val="0"/>
                <w:sz w:val="28"/>
                <w:szCs w:val="28"/>
                <w:highlight w:val="none"/>
              </w:rPr>
            </w:pPr>
          </w:p>
        </w:tc>
        <w:tc>
          <w:tcPr>
            <w:tcW w:w="2491" w:type="dxa"/>
            <w:vMerge w:val="restart"/>
            <w:tcBorders>
              <w:top w:val="single" w:color="auto" w:sz="4" w:space="0"/>
              <w:left w:val="single" w:color="auto" w:sz="4" w:space="0"/>
              <w:bottom w:val="single" w:color="auto" w:sz="4" w:space="0"/>
              <w:right w:val="single" w:color="auto" w:sz="4" w:space="0"/>
            </w:tcBorders>
            <w:noWrap w:val="0"/>
            <w:vAlign w:val="top"/>
          </w:tcPr>
          <w:p w14:paraId="12A68B2C">
            <w:pPr>
              <w:spacing w:line="480" w:lineRule="exact"/>
              <w:jc w:val="left"/>
              <w:rPr>
                <w:rFonts w:hint="eastAsia" w:ascii="仿宋" w:hAnsi="仿宋" w:eastAsia="仿宋" w:cs="仿宋"/>
                <w:color w:val="auto"/>
                <w:kern w:val="0"/>
                <w:sz w:val="28"/>
                <w:szCs w:val="28"/>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1A053064">
            <w:pPr>
              <w:spacing w:line="480" w:lineRule="exact"/>
              <w:jc w:val="left"/>
              <w:rPr>
                <w:rFonts w:hint="eastAsia" w:ascii="仿宋" w:hAnsi="仿宋" w:eastAsia="仿宋" w:cs="仿宋"/>
                <w:color w:val="auto"/>
                <w:kern w:val="0"/>
                <w:sz w:val="28"/>
                <w:szCs w:val="28"/>
                <w:highlight w:val="none"/>
              </w:rPr>
            </w:pPr>
          </w:p>
        </w:tc>
      </w:tr>
      <w:tr w14:paraId="13E5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Borders>
              <w:top w:val="single" w:color="auto" w:sz="4" w:space="0"/>
              <w:left w:val="single" w:color="auto" w:sz="4" w:space="0"/>
              <w:bottom w:val="single" w:color="auto" w:sz="4" w:space="0"/>
              <w:right w:val="single" w:color="auto" w:sz="4" w:space="0"/>
            </w:tcBorders>
            <w:noWrap w:val="0"/>
            <w:vAlign w:val="top"/>
          </w:tcPr>
          <w:p w14:paraId="3CF3C36C">
            <w:pPr>
              <w:spacing w:line="480" w:lineRule="exact"/>
              <w:jc w:val="left"/>
              <w:rPr>
                <w:rFonts w:hint="eastAsia" w:ascii="仿宋" w:hAnsi="仿宋" w:eastAsia="仿宋" w:cs="仿宋"/>
                <w:color w:val="auto"/>
                <w:kern w:val="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AD60E9F">
            <w:pPr>
              <w:spacing w:line="480" w:lineRule="exact"/>
              <w:jc w:val="left"/>
              <w:rPr>
                <w:rFonts w:hint="eastAsia" w:ascii="仿宋" w:hAnsi="仿宋" w:eastAsia="仿宋" w:cs="仿宋"/>
                <w:color w:val="auto"/>
                <w:kern w:val="0"/>
                <w:sz w:val="28"/>
                <w:szCs w:val="28"/>
                <w:highlight w:val="none"/>
              </w:rPr>
            </w:pPr>
          </w:p>
        </w:tc>
        <w:tc>
          <w:tcPr>
            <w:tcW w:w="2491" w:type="dxa"/>
            <w:vMerge w:val="continue"/>
            <w:tcBorders>
              <w:top w:val="single" w:color="auto" w:sz="4" w:space="0"/>
              <w:left w:val="single" w:color="auto" w:sz="4" w:space="0"/>
              <w:bottom w:val="single" w:color="auto" w:sz="4" w:space="0"/>
              <w:right w:val="single" w:color="auto" w:sz="4" w:space="0"/>
            </w:tcBorders>
            <w:noWrap w:val="0"/>
            <w:vAlign w:val="center"/>
          </w:tcPr>
          <w:p w14:paraId="3C29536E">
            <w:pPr>
              <w:rPr>
                <w:rFonts w:hint="eastAsia" w:ascii="仿宋" w:hAnsi="仿宋" w:eastAsia="仿宋" w:cs="仿宋"/>
                <w:color w:val="auto"/>
                <w:kern w:val="0"/>
                <w:sz w:val="28"/>
                <w:szCs w:val="28"/>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5D4DE6FA">
            <w:pPr>
              <w:spacing w:line="480" w:lineRule="exact"/>
              <w:jc w:val="left"/>
              <w:rPr>
                <w:rFonts w:hint="eastAsia" w:ascii="仿宋" w:hAnsi="仿宋" w:eastAsia="仿宋" w:cs="仿宋"/>
                <w:color w:val="auto"/>
                <w:kern w:val="0"/>
                <w:sz w:val="28"/>
                <w:szCs w:val="28"/>
                <w:highlight w:val="none"/>
              </w:rPr>
            </w:pPr>
          </w:p>
        </w:tc>
      </w:tr>
      <w:tr w14:paraId="18C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Borders>
              <w:top w:val="single" w:color="auto" w:sz="4" w:space="0"/>
              <w:left w:val="single" w:color="auto" w:sz="4" w:space="0"/>
              <w:bottom w:val="single" w:color="auto" w:sz="4" w:space="0"/>
              <w:right w:val="single" w:color="auto" w:sz="4" w:space="0"/>
            </w:tcBorders>
            <w:noWrap w:val="0"/>
            <w:vAlign w:val="top"/>
          </w:tcPr>
          <w:p w14:paraId="4B39A3DE">
            <w:pPr>
              <w:spacing w:line="480" w:lineRule="exact"/>
              <w:jc w:val="left"/>
              <w:rPr>
                <w:rFonts w:hint="eastAsia" w:ascii="仿宋" w:hAnsi="仿宋" w:eastAsia="仿宋" w:cs="仿宋"/>
                <w:color w:val="auto"/>
                <w:kern w:val="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B00002B">
            <w:pPr>
              <w:spacing w:line="480" w:lineRule="exact"/>
              <w:jc w:val="left"/>
              <w:rPr>
                <w:rFonts w:hint="eastAsia" w:ascii="仿宋" w:hAnsi="仿宋" w:eastAsia="仿宋" w:cs="仿宋"/>
                <w:color w:val="auto"/>
                <w:kern w:val="0"/>
                <w:sz w:val="28"/>
                <w:szCs w:val="28"/>
                <w:highlight w:val="none"/>
              </w:rPr>
            </w:pPr>
          </w:p>
        </w:tc>
        <w:tc>
          <w:tcPr>
            <w:tcW w:w="2491" w:type="dxa"/>
            <w:vMerge w:val="continue"/>
            <w:tcBorders>
              <w:top w:val="single" w:color="auto" w:sz="4" w:space="0"/>
              <w:left w:val="single" w:color="auto" w:sz="4" w:space="0"/>
              <w:bottom w:val="single" w:color="auto" w:sz="4" w:space="0"/>
              <w:right w:val="single" w:color="auto" w:sz="4" w:space="0"/>
            </w:tcBorders>
            <w:noWrap w:val="0"/>
            <w:vAlign w:val="center"/>
          </w:tcPr>
          <w:p w14:paraId="7F224DE5">
            <w:pPr>
              <w:rPr>
                <w:rFonts w:hint="eastAsia" w:ascii="仿宋" w:hAnsi="仿宋" w:eastAsia="仿宋" w:cs="仿宋"/>
                <w:color w:val="auto"/>
                <w:kern w:val="0"/>
                <w:sz w:val="28"/>
                <w:szCs w:val="28"/>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5CE71E35">
            <w:pPr>
              <w:spacing w:line="480" w:lineRule="exact"/>
              <w:jc w:val="left"/>
              <w:rPr>
                <w:rFonts w:hint="eastAsia" w:ascii="仿宋" w:hAnsi="仿宋" w:eastAsia="仿宋" w:cs="仿宋"/>
                <w:color w:val="auto"/>
                <w:kern w:val="0"/>
                <w:sz w:val="28"/>
                <w:szCs w:val="28"/>
                <w:highlight w:val="none"/>
              </w:rPr>
            </w:pPr>
          </w:p>
        </w:tc>
      </w:tr>
      <w:tr w14:paraId="2E60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Borders>
              <w:top w:val="single" w:color="auto" w:sz="4" w:space="0"/>
              <w:left w:val="single" w:color="auto" w:sz="4" w:space="0"/>
              <w:bottom w:val="single" w:color="auto" w:sz="4" w:space="0"/>
              <w:right w:val="single" w:color="auto" w:sz="4" w:space="0"/>
            </w:tcBorders>
            <w:noWrap w:val="0"/>
            <w:vAlign w:val="top"/>
          </w:tcPr>
          <w:p w14:paraId="7D4C59DD">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计划日期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C4B2D71">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技术员</w:t>
            </w:r>
          </w:p>
        </w:tc>
        <w:tc>
          <w:tcPr>
            <w:tcW w:w="2491" w:type="dxa"/>
            <w:tcBorders>
              <w:top w:val="single" w:color="auto" w:sz="4" w:space="0"/>
              <w:left w:val="single" w:color="auto" w:sz="4" w:space="0"/>
              <w:bottom w:val="single" w:color="auto" w:sz="4" w:space="0"/>
              <w:right w:val="single" w:color="auto" w:sz="4" w:space="0"/>
            </w:tcBorders>
            <w:noWrap w:val="0"/>
            <w:vAlign w:val="top"/>
          </w:tcPr>
          <w:p w14:paraId="5F0256AB">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培训内容</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15A7A33E">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tc>
      </w:tr>
      <w:tr w14:paraId="4C04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Borders>
              <w:top w:val="single" w:color="auto" w:sz="4" w:space="0"/>
              <w:left w:val="single" w:color="auto" w:sz="4" w:space="0"/>
              <w:bottom w:val="single" w:color="auto" w:sz="4" w:space="0"/>
              <w:right w:val="single" w:color="auto" w:sz="4" w:space="0"/>
            </w:tcBorders>
            <w:noWrap w:val="0"/>
            <w:vAlign w:val="top"/>
          </w:tcPr>
          <w:p w14:paraId="25846B28">
            <w:pPr>
              <w:spacing w:line="480" w:lineRule="exact"/>
              <w:jc w:val="center"/>
              <w:rPr>
                <w:rFonts w:hint="eastAsia" w:ascii="仿宋" w:hAnsi="仿宋" w:eastAsia="仿宋" w:cs="仿宋"/>
                <w:color w:val="auto"/>
                <w:kern w:val="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0B84872">
            <w:pPr>
              <w:spacing w:line="480" w:lineRule="exact"/>
              <w:jc w:val="center"/>
              <w:rPr>
                <w:rFonts w:hint="eastAsia" w:ascii="仿宋" w:hAnsi="仿宋" w:eastAsia="仿宋" w:cs="仿宋"/>
                <w:color w:val="auto"/>
                <w:kern w:val="0"/>
                <w:sz w:val="28"/>
                <w:szCs w:val="28"/>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top"/>
          </w:tcPr>
          <w:p w14:paraId="09AB6F3A">
            <w:pPr>
              <w:spacing w:line="480" w:lineRule="exact"/>
              <w:jc w:val="left"/>
              <w:rPr>
                <w:rFonts w:hint="eastAsia" w:ascii="仿宋" w:hAnsi="仿宋" w:eastAsia="仿宋" w:cs="仿宋"/>
                <w:color w:val="auto"/>
                <w:kern w:val="0"/>
                <w:sz w:val="28"/>
                <w:szCs w:val="28"/>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34E22F01">
            <w:pPr>
              <w:spacing w:line="480" w:lineRule="exact"/>
              <w:jc w:val="left"/>
              <w:rPr>
                <w:rFonts w:hint="eastAsia" w:ascii="仿宋" w:hAnsi="仿宋" w:eastAsia="仿宋" w:cs="仿宋"/>
                <w:color w:val="auto"/>
                <w:kern w:val="0"/>
                <w:sz w:val="28"/>
                <w:szCs w:val="28"/>
                <w:highlight w:val="none"/>
              </w:rPr>
            </w:pPr>
          </w:p>
        </w:tc>
      </w:tr>
    </w:tbl>
    <w:p w14:paraId="09E1164F">
      <w:pPr>
        <w:rPr>
          <w:rFonts w:hint="eastAsia" w:ascii="仿宋" w:hAnsi="仿宋" w:eastAsia="仿宋" w:cs="仿宋"/>
          <w:color w:val="auto"/>
          <w:sz w:val="28"/>
          <w:szCs w:val="28"/>
          <w:highlight w:val="none"/>
        </w:rPr>
      </w:pPr>
    </w:p>
    <w:p w14:paraId="62B9E03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D9BE93D">
      <w:pPr>
        <w:jc w:val="left"/>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附件</w:t>
      </w: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sz w:val="28"/>
          <w:szCs w:val="28"/>
          <w:highlight w:val="none"/>
        </w:rPr>
        <w:t>医疗卫生机构医药产品廉洁购销合同</w:t>
      </w:r>
    </w:p>
    <w:p w14:paraId="1C8A753F">
      <w:pPr>
        <w:spacing w:line="360" w:lineRule="exact"/>
        <w:rPr>
          <w:rFonts w:hint="eastAsia" w:ascii="仿宋" w:hAnsi="仿宋" w:eastAsia="仿宋" w:cs="仿宋"/>
          <w:color w:val="auto"/>
          <w:sz w:val="28"/>
          <w:szCs w:val="28"/>
          <w:highlight w:val="none"/>
        </w:rPr>
      </w:pPr>
    </w:p>
    <w:p w14:paraId="7B357C77">
      <w:pPr>
        <w:spacing w:line="440" w:lineRule="exact"/>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甲方: </w:t>
      </w:r>
      <w:r>
        <w:rPr>
          <w:rFonts w:hint="eastAsia" w:ascii="仿宋" w:hAnsi="仿宋" w:eastAsia="仿宋" w:cs="仿宋"/>
          <w:b/>
          <w:color w:val="auto"/>
          <w:sz w:val="28"/>
          <w:szCs w:val="28"/>
          <w:highlight w:val="none"/>
          <w:lang w:eastAsia="zh-CN"/>
        </w:rPr>
        <w:t>台山市妇幼保健院</w:t>
      </w:r>
    </w:p>
    <w:p w14:paraId="4C9DBD01">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乙方: </w:t>
      </w:r>
    </w:p>
    <w:p w14:paraId="2ABA3E1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0BBC32C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一、甲乙双方按照《中华人民共和国民法典》及医药产品购销合同约定购销药品、医用设备、医用耗材等医药产品。</w:t>
      </w:r>
    </w:p>
    <w:p w14:paraId="52778DD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二、甲方应当严格执行医药产品购销合同验收、入库制度，对采购医药产品及发票进行查验，不得违反有关规定合同外采购、违价采购或从非规定渠道采购。</w:t>
      </w:r>
    </w:p>
    <w:p w14:paraId="3C17C6F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01DD7E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四、严禁甲方工作人员利用任何途径和方式，为乙方统计医师个人及临床科室有关医药产品用量信息，或为乙方统计提供便利。</w:t>
      </w:r>
    </w:p>
    <w:p w14:paraId="06902FF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五、乙方不得以回扣、宴请等方式影响甲方工作人员采购或使用医药产品的选择权，不得在学术活动中提供旅游、超标准支付食宿费用。</w:t>
      </w:r>
    </w:p>
    <w:p w14:paraId="6A4A070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乙方指定______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19BFFB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E0E09D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八、本合同作为医药产品购销合同的重要组成部分，与购销合同一并执行，具有同等的法律效力。</w:t>
      </w:r>
    </w:p>
    <w:p w14:paraId="78E039C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九、本合同一式三份，甲、乙双方各执一份，甲方纪检监察部门(基层医疗卫生机构上报上级卫生计生行政部门)执一份，并从签订之日起生效。</w:t>
      </w:r>
    </w:p>
    <w:tbl>
      <w:tblPr>
        <w:tblStyle w:val="5"/>
        <w:tblpPr w:leftFromText="180" w:rightFromText="180" w:vertAnchor="text" w:horzAnchor="page" w:tblpXSpec="center" w:tblpY="160"/>
        <w:tblOverlap w:val="never"/>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0"/>
        <w:gridCol w:w="4690"/>
      </w:tblGrid>
      <w:tr w14:paraId="544E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690" w:type="dxa"/>
            <w:tcBorders>
              <w:tl2br w:val="nil"/>
              <w:tr2bl w:val="nil"/>
            </w:tcBorders>
            <w:noWrap w:val="0"/>
            <w:vAlign w:val="top"/>
          </w:tcPr>
          <w:p w14:paraId="03F28D2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甲方(盖章）</w:t>
            </w:r>
          </w:p>
        </w:tc>
        <w:tc>
          <w:tcPr>
            <w:tcW w:w="4690" w:type="dxa"/>
            <w:tcBorders>
              <w:tl2br w:val="nil"/>
              <w:tr2bl w:val="nil"/>
            </w:tcBorders>
            <w:noWrap w:val="0"/>
            <w:vAlign w:val="top"/>
          </w:tcPr>
          <w:p w14:paraId="7524644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乙方(盖章）</w:t>
            </w:r>
          </w:p>
        </w:tc>
      </w:tr>
      <w:tr w14:paraId="277F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690" w:type="dxa"/>
            <w:tcBorders>
              <w:tl2br w:val="nil"/>
              <w:tr2bl w:val="nil"/>
            </w:tcBorders>
            <w:noWrap w:val="0"/>
            <w:vAlign w:val="top"/>
          </w:tcPr>
          <w:p w14:paraId="5AB2BF0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法定代表人(负责人）：</w:t>
            </w:r>
          </w:p>
        </w:tc>
        <w:tc>
          <w:tcPr>
            <w:tcW w:w="4690" w:type="dxa"/>
            <w:tcBorders>
              <w:tl2br w:val="nil"/>
              <w:tr2bl w:val="nil"/>
            </w:tcBorders>
            <w:noWrap w:val="0"/>
            <w:vAlign w:val="top"/>
          </w:tcPr>
          <w:p w14:paraId="570F1A8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法定代表人(负责人）：</w:t>
            </w:r>
          </w:p>
        </w:tc>
      </w:tr>
      <w:tr w14:paraId="29A0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690" w:type="dxa"/>
            <w:tcBorders>
              <w:tl2br w:val="nil"/>
              <w:tr2bl w:val="nil"/>
            </w:tcBorders>
            <w:noWrap w:val="0"/>
            <w:vAlign w:val="top"/>
          </w:tcPr>
          <w:p w14:paraId="5FCA50D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经办人签名：</w:t>
            </w:r>
          </w:p>
        </w:tc>
        <w:tc>
          <w:tcPr>
            <w:tcW w:w="4690" w:type="dxa"/>
            <w:tcBorders>
              <w:tl2br w:val="nil"/>
              <w:tr2bl w:val="nil"/>
            </w:tcBorders>
            <w:noWrap w:val="0"/>
            <w:vAlign w:val="top"/>
          </w:tcPr>
          <w:p w14:paraId="57B5E0C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rPr>
              <w:t>经办人签名：</w:t>
            </w:r>
          </w:p>
        </w:tc>
      </w:tr>
    </w:tbl>
    <w:p w14:paraId="0CF4B4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bin-Regular">
    <w:altName w:val="Calibri"/>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44DD1"/>
    <w:rsid w:val="28225C47"/>
    <w:rsid w:val="2F0C6FBE"/>
    <w:rsid w:val="32181F93"/>
    <w:rsid w:val="39A357ED"/>
    <w:rsid w:val="408F5741"/>
    <w:rsid w:val="4304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pPr>
      <w:autoSpaceDE/>
      <w:autoSpaceDN/>
      <w:snapToGrid w:val="0"/>
      <w:spacing w:line="360" w:lineRule="atLeast"/>
      <w:textAlignment w:val="baseline"/>
    </w:pPr>
    <w:rPr>
      <w:rFonts w:ascii="宋体" w:hAnsi="宋体"/>
      <w:sz w:val="28"/>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2025-01-13T09:22:00Z</dcterms:created>
  <dc:creator>sbk003</dc:creator>
  <cp:lastModifiedBy>郭伟国</cp:lastModifiedBy>
  <dcterms:modified xsi:type="dcterms:W3CDTF">2025-07-30T00:49:07Z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9F006809553344E1AB34954BDC7C1E2A_12</vt:lpwstr>
  </property>
</Properties>
</file>