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8A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听力筛查仪技术参数</w:t>
      </w:r>
    </w:p>
    <w:p w14:paraId="653D6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p w14:paraId="2F6DFF4B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uk-UA"/>
        </w:rPr>
      </w:pP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1、具备瞬态耳声发射和畸变产物耳声发射二种测试功能；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2、瞬态耳声发射评估方法：噪音加权平均、信号峰值计算；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3、畸变产物耳声发射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评估方法：相位统计法;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4、≥2.4英寸彩色液晶显示屏，具备检测完成可直接显示测试结果功能；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5、具备测试结果存储功能，具备随时打印测试结果功能；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6、一次性可存储≥50个受试者信息，≥200组测试数据；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7、具备抑制噪音干扰功能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8、具备蓄电池，容量≥1500mA/h，续航时间≥8小时；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9、可拆卸探头，探头线缆长度100CM（±10%）；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10、主机可连接无线打印机；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、具有≥3种（大中小）尺寸的硅胶耳塞，可满足不同人群使用；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、数据传输：使用USB接口连接PC端，读取并暂存报告，可随时匹配受试者并查看打印测试报告；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▲1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、与医疗系统数据互通：支持HL7协议，与医疗系统信息对接，可获取患者数据与上传测试报告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、主机采用按键方式操作；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uk-UA"/>
        </w:rPr>
        <w:t>、充电接口与数据传输接口共用。</w:t>
      </w:r>
    </w:p>
    <w:p w14:paraId="3AD9F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0AAE4232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657E3"/>
    <w:rsid w:val="5C9657E3"/>
    <w:rsid w:val="6E3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435</Characters>
  <Lines>0</Lines>
  <Paragraphs>0</Paragraphs>
  <TotalTime>9</TotalTime>
  <ScaleCrop>false</ScaleCrop>
  <LinksUpToDate>false</LinksUpToDate>
  <CharactersWithSpaces>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2025-07-09T01:40:00Z</dcterms:created>
  <dc:creator>气宇轩昂</dc:creator>
  <cp:lastModifiedBy>气宇轩昂</cp:lastModifiedBy>
  <dcterms:modified xsi:type="dcterms:W3CDTF">2025-07-15T06:27:20Z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3E4E78582D9C4323BBFF828017024FFA_11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