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AD209">
      <w:pPr>
        <w:rPr>
          <w:rFonts w:hint="eastAsia"/>
        </w:rPr>
      </w:pPr>
    </w:p>
    <w:p w14:paraId="6F33A78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腹腔镜镜头技术参数</w:t>
      </w:r>
    </w:p>
    <w:bookmarkEnd w:id="0"/>
    <w:p w14:paraId="0F50C194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61281B55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适用狼牌</w:t>
      </w:r>
      <w:r>
        <w:rPr>
          <w:rFonts w:hint="eastAsia" w:ascii="宋体" w:hAnsi="宋体" w:eastAsia="宋体" w:cs="宋体"/>
          <w:sz w:val="32"/>
          <w:szCs w:val="32"/>
        </w:rPr>
        <w:t xml:space="preserve">摄像主机品牌，30 度新型不失真超广角镜高温高压消毒，直径 10mm,工作长度 300mm； </w:t>
      </w:r>
    </w:p>
    <w:p w14:paraId="3FAC2BE2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2、带有 HD 标志，镜头采用国际标准卡口，能够适配任何标准接口的冷光源和摄像系统； </w:t>
      </w:r>
    </w:p>
    <w:p w14:paraId="6F808456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3、内窥镜体采用双层金属外鞘，镜体与内部水晶体连接采用特殊 UV 材料，耐高温、高压消毒（134 度，2.3 大气压）； </w:t>
      </w:r>
    </w:p>
    <w:p w14:paraId="55575692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4、内窥镜为采用水晶蓝宝石柱状透镜光学系统，镜头采用环行光源，发光点均匀分布在镜头四周，只需极少光亮就能清晰成像；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65A6A"/>
    <w:rsid w:val="7F16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2025-06-17T01:39:00Z</dcterms:created>
  <dc:creator>气宇轩昂</dc:creator>
  <cp:lastModifiedBy>气宇轩昂</cp:lastModifiedBy>
  <dcterms:modified xsi:type="dcterms:W3CDTF">2025-06-17T01:45:03Z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773F8621BE054F0BA5708C338DDB02AD_11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