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EFDA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论证需求</w:t>
      </w:r>
    </w:p>
    <w:p w14:paraId="373E13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一、设备名称、数量</w:t>
      </w:r>
    </w:p>
    <w:tbl>
      <w:tblPr>
        <w:tblStyle w:val="3"/>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2433"/>
        <w:gridCol w:w="1675"/>
        <w:gridCol w:w="1648"/>
        <w:gridCol w:w="1629"/>
      </w:tblGrid>
      <w:tr w14:paraId="3260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41" w:type="dxa"/>
          </w:tcPr>
          <w:p w14:paraId="48DE2AFC">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rPr>
              <w:t>序号</w:t>
            </w:r>
          </w:p>
        </w:tc>
        <w:tc>
          <w:tcPr>
            <w:tcW w:w="2433" w:type="dxa"/>
          </w:tcPr>
          <w:p w14:paraId="26E60A50">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lang w:eastAsia="zh-CN"/>
              </w:rPr>
              <w:t>采购设备</w:t>
            </w:r>
            <w:r>
              <w:rPr>
                <w:rFonts w:hint="eastAsia" w:ascii="仿宋_GB2312" w:eastAsia="仿宋_GB2312"/>
                <w:color w:val="333333"/>
                <w:sz w:val="28"/>
                <w:szCs w:val="28"/>
                <w:shd w:val="clear" w:color="auto" w:fill="FFFFFF"/>
              </w:rPr>
              <w:t>名</w:t>
            </w:r>
          </w:p>
        </w:tc>
        <w:tc>
          <w:tcPr>
            <w:tcW w:w="1675" w:type="dxa"/>
          </w:tcPr>
          <w:p w14:paraId="24AC62AA">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rPr>
              <w:t>数量</w:t>
            </w:r>
          </w:p>
        </w:tc>
        <w:tc>
          <w:tcPr>
            <w:tcW w:w="1648" w:type="dxa"/>
          </w:tcPr>
          <w:p w14:paraId="196F1C96">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rPr>
              <w:t>预算（单位：万元）</w:t>
            </w:r>
          </w:p>
        </w:tc>
        <w:tc>
          <w:tcPr>
            <w:tcW w:w="1629" w:type="dxa"/>
          </w:tcPr>
          <w:p w14:paraId="5A5B8DFF">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仿宋_GB2312" w:eastAsia="仿宋_GB2312"/>
                <w:color w:val="333333"/>
                <w:sz w:val="28"/>
                <w:szCs w:val="28"/>
                <w:shd w:val="clear" w:color="auto" w:fill="FFFFFF"/>
                <w:lang w:val="en-US" w:eastAsia="zh-CN"/>
              </w:rPr>
            </w:pPr>
            <w:r>
              <w:rPr>
                <w:rFonts w:hint="eastAsia" w:ascii="仿宋_GB2312" w:eastAsia="仿宋_GB2312"/>
                <w:color w:val="333333"/>
                <w:sz w:val="28"/>
                <w:szCs w:val="28"/>
                <w:shd w:val="clear" w:color="auto" w:fill="FFFFFF"/>
                <w:lang w:eastAsia="zh-CN"/>
              </w:rPr>
              <w:t>进口</w:t>
            </w:r>
            <w:r>
              <w:rPr>
                <w:rFonts w:hint="eastAsia" w:ascii="仿宋_GB2312" w:eastAsia="仿宋_GB2312"/>
                <w:color w:val="333333"/>
                <w:sz w:val="28"/>
                <w:szCs w:val="28"/>
                <w:shd w:val="clear" w:color="auto" w:fill="FFFFFF"/>
                <w:lang w:val="en-US" w:eastAsia="zh-CN"/>
              </w:rPr>
              <w:t>/国产</w:t>
            </w:r>
          </w:p>
        </w:tc>
      </w:tr>
      <w:tr w14:paraId="2C1B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41" w:type="dxa"/>
            <w:vAlign w:val="top"/>
          </w:tcPr>
          <w:p w14:paraId="0442C0F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color w:val="FF0000"/>
                <w:sz w:val="28"/>
                <w:szCs w:val="28"/>
                <w:shd w:val="clear" w:color="auto" w:fill="FFFFFF"/>
                <w:lang w:val="en-US"/>
              </w:rPr>
            </w:pPr>
            <w:r>
              <w:rPr>
                <w:rFonts w:hint="eastAsia" w:ascii="仿宋_GB2312" w:eastAsia="仿宋_GB2312"/>
                <w:color w:val="FF0000"/>
                <w:sz w:val="28"/>
                <w:szCs w:val="28"/>
                <w:shd w:val="clear" w:color="auto" w:fill="FFFFFF"/>
                <w:lang w:val="en-US" w:eastAsia="zh-CN"/>
              </w:rPr>
              <w:t>ID:55686</w:t>
            </w:r>
          </w:p>
        </w:tc>
        <w:tc>
          <w:tcPr>
            <w:tcW w:w="2433" w:type="dxa"/>
            <w:vAlign w:val="top"/>
          </w:tcPr>
          <w:p w14:paraId="7DDFDDF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color w:val="FF0000"/>
                <w:sz w:val="28"/>
                <w:szCs w:val="28"/>
                <w:shd w:val="clear" w:color="auto" w:fill="FFFFFF"/>
                <w:lang w:val="en-US"/>
              </w:rPr>
            </w:pPr>
            <w:r>
              <w:rPr>
                <w:rFonts w:hint="eastAsia" w:ascii="宋体" w:hAnsi="宋体" w:eastAsia="宋体" w:cs="宋体"/>
                <w:i w:val="0"/>
                <w:iCs w:val="0"/>
                <w:color w:val="000000"/>
                <w:kern w:val="0"/>
                <w:sz w:val="26"/>
                <w:szCs w:val="26"/>
                <w:u w:val="none"/>
                <w:lang w:val="en-US" w:eastAsia="zh-CN" w:bidi="ar"/>
              </w:rPr>
              <w:t>成人电子支气管镜</w:t>
            </w:r>
          </w:p>
        </w:tc>
        <w:tc>
          <w:tcPr>
            <w:tcW w:w="1675" w:type="dxa"/>
            <w:vAlign w:val="top"/>
          </w:tcPr>
          <w:p w14:paraId="77A8918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color w:val="FF0000"/>
                <w:sz w:val="28"/>
                <w:szCs w:val="28"/>
                <w:shd w:val="clear" w:color="auto" w:fill="FFFFFF"/>
                <w:lang w:val="en-US" w:eastAsia="zh-CN"/>
              </w:rPr>
            </w:pPr>
            <w:r>
              <w:rPr>
                <w:rFonts w:hint="eastAsia" w:ascii="仿宋_GB2312" w:eastAsia="仿宋_GB2312"/>
                <w:color w:val="FF0000"/>
                <w:sz w:val="28"/>
                <w:szCs w:val="28"/>
                <w:shd w:val="clear" w:color="auto" w:fill="FFFFFF"/>
                <w:lang w:val="en-US" w:eastAsia="zh-CN"/>
              </w:rPr>
              <w:t>1台</w:t>
            </w:r>
          </w:p>
        </w:tc>
        <w:tc>
          <w:tcPr>
            <w:tcW w:w="1648" w:type="dxa"/>
            <w:vAlign w:val="top"/>
          </w:tcPr>
          <w:p w14:paraId="4B9F099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color w:val="FF0000"/>
                <w:sz w:val="28"/>
                <w:szCs w:val="28"/>
                <w:shd w:val="clear" w:color="auto" w:fill="FFFFFF"/>
                <w:lang w:val="en-US" w:eastAsia="zh-CN"/>
              </w:rPr>
            </w:pPr>
            <w:r>
              <w:rPr>
                <w:rFonts w:hint="eastAsia" w:ascii="仿宋_GB2312" w:eastAsia="仿宋_GB2312"/>
                <w:color w:val="FF0000"/>
                <w:sz w:val="28"/>
                <w:szCs w:val="28"/>
                <w:shd w:val="clear" w:color="auto" w:fill="FFFFFF"/>
                <w:lang w:val="en-US" w:eastAsia="zh-CN"/>
              </w:rPr>
              <w:t>12</w:t>
            </w:r>
          </w:p>
        </w:tc>
        <w:tc>
          <w:tcPr>
            <w:tcW w:w="1629" w:type="dxa"/>
            <w:vAlign w:val="top"/>
          </w:tcPr>
          <w:p w14:paraId="255E0A9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FF0000"/>
                <w:sz w:val="28"/>
                <w:szCs w:val="28"/>
                <w:shd w:val="clear" w:color="auto" w:fill="FFFFFF"/>
                <w:lang w:val="en-US" w:eastAsia="zh-CN"/>
              </w:rPr>
            </w:pPr>
            <w:r>
              <w:rPr>
                <w:rFonts w:hint="eastAsia" w:ascii="仿宋_GB2312" w:eastAsia="仿宋_GB2312"/>
                <w:color w:val="FF0000"/>
                <w:sz w:val="28"/>
                <w:szCs w:val="28"/>
                <w:shd w:val="clear" w:color="auto" w:fill="FFFFFF"/>
                <w:lang w:val="en-US" w:eastAsia="zh-CN"/>
              </w:rPr>
              <w:t>国产</w:t>
            </w:r>
          </w:p>
        </w:tc>
      </w:tr>
    </w:tbl>
    <w:p w14:paraId="015288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4"/>
          <w:szCs w:val="34"/>
          <w:lang w:val="en-US" w:eastAsia="zh-CN"/>
        </w:rPr>
      </w:pPr>
      <w:r>
        <w:rPr>
          <w:rFonts w:hint="eastAsia" w:ascii="黑体" w:hAnsi="黑体" w:eastAsia="黑体"/>
          <w:sz w:val="32"/>
          <w:szCs w:val="32"/>
          <w:lang w:val="en-US" w:eastAsia="zh-CN"/>
        </w:rPr>
        <w:t>二、初步技术参数或要求</w:t>
      </w:r>
    </w:p>
    <w:p w14:paraId="6EBD258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楷体_GB2312" w:eastAsia="楷体_GB2312"/>
          <w:b/>
          <w:sz w:val="32"/>
          <w:szCs w:val="32"/>
          <w:lang w:val="en-US" w:eastAsia="zh-CN"/>
        </w:rPr>
      </w:pPr>
      <w:r>
        <w:rPr>
          <w:rFonts w:hint="eastAsia" w:ascii="楷体_GB2312" w:eastAsia="楷体_GB2312"/>
          <w:b/>
          <w:sz w:val="32"/>
          <w:szCs w:val="32"/>
          <w:lang w:val="en-US" w:eastAsia="zh-CN"/>
        </w:rPr>
        <w:t>（一）</w:t>
      </w:r>
      <w:r>
        <w:rPr>
          <w:rFonts w:hint="eastAsia" w:ascii="宋体" w:hAnsi="宋体" w:eastAsia="宋体" w:cs="宋体"/>
          <w:i w:val="0"/>
          <w:iCs w:val="0"/>
          <w:color w:val="000000"/>
          <w:kern w:val="0"/>
          <w:sz w:val="26"/>
          <w:szCs w:val="26"/>
          <w:u w:val="none"/>
          <w:lang w:val="en-US" w:eastAsia="zh-CN" w:bidi="ar"/>
        </w:rPr>
        <w:t>成人电子支气管镜</w:t>
      </w:r>
    </w:p>
    <w:p w14:paraId="6FB818E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用途; 通过显示终端的配合 ，用于气管、支气管的观察、诊断和治疗 。</w:t>
      </w:r>
    </w:p>
    <w:p w14:paraId="0497DD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GB"/>
        </w:rPr>
        <w:t>电子支气管镜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景深：3-200mm</w:t>
      </w:r>
      <w:r>
        <w:rPr>
          <w:rFonts w:hint="eastAsia" w:ascii="仿宋_GB2312" w:hAnsi="仿宋_GB2312" w:eastAsia="仿宋_GB2312" w:cs="仿宋_GB2312"/>
          <w:sz w:val="32"/>
          <w:szCs w:val="32"/>
          <w:lang w:val="en-US" w:eastAsia="zh-CN"/>
        </w:rPr>
        <w:t>;</w:t>
      </w:r>
    </w:p>
    <w:p w14:paraId="32296F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成像原理：电子成像技术，工作软管不含光纤</w:t>
      </w:r>
      <w:r>
        <w:rPr>
          <w:rFonts w:hint="eastAsia" w:ascii="仿宋_GB2312" w:hAnsi="仿宋_GB2312" w:eastAsia="仿宋_GB2312" w:cs="仿宋_GB2312"/>
          <w:sz w:val="32"/>
          <w:szCs w:val="32"/>
          <w:lang w:val="en-US" w:eastAsia="zh-CN"/>
        </w:rPr>
        <w:t>;</w:t>
      </w:r>
    </w:p>
    <w:p w14:paraId="3AABCC1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视场角≥120°</w:t>
      </w:r>
      <w:r>
        <w:rPr>
          <w:rFonts w:hint="eastAsia" w:ascii="仿宋_GB2312" w:hAnsi="仿宋_GB2312" w:eastAsia="仿宋_GB2312" w:cs="仿宋_GB2312"/>
          <w:sz w:val="32"/>
          <w:szCs w:val="32"/>
          <w:lang w:val="en-US" w:eastAsia="zh-CN"/>
        </w:rPr>
        <w:t>;</w:t>
      </w:r>
    </w:p>
    <w:p w14:paraId="44F70C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可进行支气管检查与活检、细胞刷、冷冻等治疗</w:t>
      </w:r>
      <w:r>
        <w:rPr>
          <w:rFonts w:hint="eastAsia" w:ascii="仿宋_GB2312" w:hAnsi="仿宋_GB2312" w:eastAsia="仿宋_GB2312" w:cs="仿宋_GB2312"/>
          <w:sz w:val="32"/>
          <w:szCs w:val="32"/>
          <w:lang w:val="en-US" w:eastAsia="zh-CN"/>
        </w:rPr>
        <w:t>;</w:t>
      </w:r>
    </w:p>
    <w:p w14:paraId="47B7ED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可进行支气管气道分泌物清理、吸痰、肺泡灌洗等治疗</w:t>
      </w:r>
      <w:r>
        <w:rPr>
          <w:rFonts w:hint="eastAsia" w:ascii="仿宋_GB2312" w:hAnsi="仿宋_GB2312" w:eastAsia="仿宋_GB2312" w:cs="仿宋_GB2312"/>
          <w:sz w:val="32"/>
          <w:szCs w:val="32"/>
          <w:lang w:val="en-US" w:eastAsia="zh-CN"/>
        </w:rPr>
        <w:t>;</w:t>
      </w:r>
    </w:p>
    <w:p w14:paraId="3061B90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自带LED光源，耐用性强，具备防雾功能</w:t>
      </w:r>
      <w:r>
        <w:rPr>
          <w:rFonts w:hint="eastAsia" w:ascii="仿宋_GB2312" w:hAnsi="仿宋_GB2312" w:eastAsia="仿宋_GB2312" w:cs="仿宋_GB2312"/>
          <w:sz w:val="32"/>
          <w:szCs w:val="32"/>
          <w:lang w:eastAsia="zh-CN"/>
        </w:rPr>
        <w:t>；</w:t>
      </w:r>
    </w:p>
    <w:p w14:paraId="202E84A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照明：采用LED白光照明，可分5级调光，显色指数Ra不低于80，其最低照明不低于 80 lx</w:t>
      </w:r>
      <w:r>
        <w:rPr>
          <w:rFonts w:hint="eastAsia" w:ascii="仿宋_GB2312" w:hAnsi="仿宋_GB2312" w:eastAsia="仿宋_GB2312" w:cs="仿宋_GB2312"/>
          <w:sz w:val="32"/>
          <w:szCs w:val="32"/>
          <w:lang w:val="en-US" w:eastAsia="zh-CN"/>
        </w:rPr>
        <w:t>;</w:t>
      </w:r>
    </w:p>
    <w:p w14:paraId="49118E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支持低温等离子灭菌和环氧乙烷灭菌</w:t>
      </w:r>
      <w:r>
        <w:rPr>
          <w:rFonts w:hint="eastAsia" w:ascii="仿宋_GB2312" w:hAnsi="仿宋_GB2312" w:eastAsia="仿宋_GB2312" w:cs="仿宋_GB2312"/>
          <w:sz w:val="32"/>
          <w:szCs w:val="32"/>
          <w:lang w:eastAsia="zh-CN"/>
        </w:rPr>
        <w:t>；</w:t>
      </w:r>
    </w:p>
    <w:p w14:paraId="041681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电子内窥镜图像处理器内置内存，可持续录制视频120分钟，外置可插拔SD存储卡直接存储图片及视频等信息</w:t>
      </w:r>
      <w:r>
        <w:rPr>
          <w:rFonts w:hint="eastAsia" w:ascii="仿宋_GB2312" w:hAnsi="仿宋_GB2312" w:eastAsia="仿宋_GB2312" w:cs="仿宋_GB2312"/>
          <w:sz w:val="32"/>
          <w:szCs w:val="32"/>
          <w:lang w:val="en-US" w:eastAsia="zh-CN"/>
        </w:rPr>
        <w:t>;</w:t>
      </w:r>
    </w:p>
    <w:p w14:paraId="63C043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无线传输功能在明视下，可以接收≥10米距离内的视频信号；</w:t>
      </w:r>
    </w:p>
    <w:p w14:paraId="1BC10B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高清显示器，自带触摸屏，支持双指缩放，屏幕可以放大3倍</w:t>
      </w:r>
      <w:r>
        <w:rPr>
          <w:rFonts w:hint="eastAsia" w:ascii="仿宋_GB2312" w:hAnsi="仿宋_GB2312" w:eastAsia="仿宋_GB2312" w:cs="仿宋_GB2312"/>
          <w:sz w:val="32"/>
          <w:szCs w:val="32"/>
          <w:lang w:val="en-US" w:eastAsia="zh-CN"/>
        </w:rPr>
        <w:t>;</w:t>
      </w:r>
    </w:p>
    <w:p w14:paraId="652203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13.配套</w:t>
      </w:r>
      <w:r>
        <w:rPr>
          <w:rFonts w:hint="eastAsia" w:ascii="仿宋_GB2312" w:hAnsi="仿宋_GB2312" w:eastAsia="仿宋_GB2312" w:cs="仿宋_GB2312"/>
          <w:sz w:val="32"/>
          <w:szCs w:val="32"/>
          <w:lang w:val="en-GB"/>
        </w:rPr>
        <w:t>电子支气管镜</w:t>
      </w:r>
      <w:r>
        <w:rPr>
          <w:rFonts w:hint="eastAsia" w:ascii="仿宋_GB2312" w:hAnsi="仿宋_GB2312" w:eastAsia="仿宋_GB2312" w:cs="仿宋_GB2312"/>
          <w:sz w:val="32"/>
          <w:szCs w:val="32"/>
          <w:lang w:val="en-GB" w:eastAsia="zh-CN"/>
        </w:rPr>
        <w:t>、</w:t>
      </w:r>
      <w:r>
        <w:rPr>
          <w:rFonts w:hint="eastAsia" w:ascii="仿宋_GB2312" w:hAnsi="仿宋_GB2312" w:eastAsia="仿宋_GB2312" w:cs="仿宋_GB2312"/>
          <w:sz w:val="32"/>
          <w:szCs w:val="32"/>
        </w:rPr>
        <w:t>电子内窥镜图像处理器（含无线发射器）</w:t>
      </w:r>
      <w:r>
        <w:rPr>
          <w:rFonts w:hint="eastAsia" w:ascii="仿宋_GB2312" w:hAnsi="仿宋_GB2312" w:eastAsia="仿宋_GB2312" w:cs="仿宋_GB2312"/>
          <w:sz w:val="32"/>
          <w:szCs w:val="32"/>
          <w:lang w:val="en-US" w:eastAsia="zh-CN"/>
        </w:rPr>
        <w:t>。</w:t>
      </w:r>
    </w:p>
    <w:p w14:paraId="53FDE3F5">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lang w:eastAsia="zh-CN"/>
        </w:rPr>
      </w:pPr>
      <w:r>
        <w:rPr>
          <w:rFonts w:hint="eastAsia" w:ascii="仿宋_GB2312" w:hAnsi="仿宋_GB2312" w:eastAsia="仿宋_GB2312" w:cs="仿宋_GB2312"/>
          <w:sz w:val="32"/>
          <w:szCs w:val="32"/>
          <w:lang w:eastAsia="zh-CN"/>
        </w:rPr>
        <w:t>（</w:t>
      </w:r>
      <w:r>
        <w:t>打“</w:t>
      </w:r>
      <w:r>
        <w:rPr>
          <w:rFonts w:hint="eastAsia" w:ascii="宋体" w:hAnsi="宋体" w:eastAsia="宋体" w:cs="宋体"/>
        </w:rPr>
        <w:t>★</w:t>
      </w:r>
      <w:r>
        <w:rPr>
          <w:rFonts w:ascii="Calibri" w:hAnsi="Calibri" w:cs="Calibri"/>
        </w:rPr>
        <w:t>”</w:t>
      </w:r>
      <w:r>
        <w:t>号条款为实质性条款，若有任何一条不满足则导致投标无效。打“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r>
        <w:rPr>
          <w:rFonts w:hint="eastAsia"/>
          <w:lang w:eastAsia="zh-CN"/>
        </w:rPr>
        <w:t>）</w:t>
      </w:r>
    </w:p>
    <w:p w14:paraId="296E15B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三、商务要求</w:t>
      </w:r>
    </w:p>
    <w:p w14:paraId="58C144F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val="en-US" w:eastAsia="zh-CN"/>
        </w:rPr>
        <w:t>（一）</w:t>
      </w:r>
      <w:r>
        <w:rPr>
          <w:rFonts w:hint="eastAsia" w:ascii="楷体_GB2312" w:eastAsia="楷体_GB2312"/>
          <w:b/>
          <w:sz w:val="32"/>
          <w:szCs w:val="32"/>
        </w:rPr>
        <w:t>供货方案及安装调试、培训方案</w:t>
      </w:r>
      <w:r>
        <w:rPr>
          <w:rFonts w:hint="eastAsia" w:ascii="楷体_GB2312" w:eastAsia="楷体_GB2312"/>
          <w:b/>
          <w:sz w:val="32"/>
          <w:szCs w:val="32"/>
          <w:lang w:eastAsia="zh-CN"/>
        </w:rPr>
        <w:t>。</w:t>
      </w:r>
    </w:p>
    <w:p w14:paraId="4EEE09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合同签订生效后30个日历天内，完成到货安装调试并提交采购人试用。</w:t>
      </w:r>
      <w:r>
        <w:rPr>
          <w:rFonts w:hint="eastAsia" w:ascii="仿宋_GB2312" w:hAnsi="仿宋_GB2312" w:eastAsia="仿宋_GB2312" w:cs="仿宋_GB2312"/>
          <w:sz w:val="32"/>
          <w:szCs w:val="32"/>
          <w:lang w:eastAsia="zh-CN"/>
        </w:rPr>
        <w:t>投标人应当采取有效措施确保投标产品的规格、性能、校对等符合国家标准、行业标准等质量的管理规定要求，保障投标产品的质量。</w:t>
      </w:r>
      <w:r>
        <w:rPr>
          <w:rFonts w:hint="eastAsia" w:ascii="仿宋_GB2312" w:hAnsi="仿宋_GB2312" w:eastAsia="仿宋_GB2312" w:cs="仿宋_GB2312"/>
          <w:sz w:val="32"/>
          <w:szCs w:val="32"/>
        </w:rPr>
        <w:t>投标人须提供所投产品完整的配置清单。培训要求：中标人负责培训采购人有关技术人员，直至掌握操作技术为止。在仪器正常使用期间，中标人须负责该设备的技术咨询。</w:t>
      </w:r>
    </w:p>
    <w:p w14:paraId="7759A81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eastAsia="zh-CN"/>
        </w:rPr>
        <w:t>（二）</w:t>
      </w:r>
      <w:r>
        <w:rPr>
          <w:rFonts w:hint="eastAsia" w:ascii="楷体_GB2312" w:eastAsia="楷体_GB2312"/>
          <w:b/>
          <w:sz w:val="32"/>
          <w:szCs w:val="32"/>
        </w:rPr>
        <w:t>验收</w:t>
      </w:r>
      <w:r>
        <w:rPr>
          <w:rFonts w:hint="eastAsia" w:ascii="楷体_GB2312" w:eastAsia="楷体_GB2312"/>
          <w:b/>
          <w:sz w:val="32"/>
          <w:szCs w:val="32"/>
          <w:lang w:eastAsia="zh-CN"/>
        </w:rPr>
        <w:t>要求。</w:t>
      </w:r>
    </w:p>
    <w:p w14:paraId="74FF27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验收时间：设备安装调试完毕后并试用一周后进行，中标人应提交相应的验收资料协助采购人进行验收。</w:t>
      </w:r>
    </w:p>
    <w:p w14:paraId="43CB18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验收方法：由采购人使用部门人员、医疗器械工程师及中标人相关人员共同对设备产品质量和技术指标进行检验。</w:t>
      </w:r>
    </w:p>
    <w:p w14:paraId="67BAF3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验收标准</w:t>
      </w:r>
      <w:r>
        <w:rPr>
          <w:rFonts w:hint="eastAsia" w:ascii="仿宋_GB2312" w:hAnsi="仿宋_GB2312" w:eastAsia="仿宋_GB2312" w:cs="仿宋_GB2312"/>
          <w:sz w:val="32"/>
          <w:szCs w:val="32"/>
          <w:lang w:eastAsia="zh-CN"/>
        </w:rPr>
        <w:t>：</w:t>
      </w:r>
    </w:p>
    <w:p w14:paraId="6E4125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中标人提供的设备必须是全新的，出厂日期不超过</w:t>
      </w:r>
      <w:r>
        <w:rPr>
          <w:rFonts w:hint="eastAsia" w:ascii="仿宋_GB2312" w:hAnsi="仿宋_GB2312" w:eastAsia="仿宋_GB2312" w:cs="仿宋_GB2312"/>
          <w:color w:val="FF0000"/>
          <w:sz w:val="32"/>
          <w:szCs w:val="32"/>
          <w:lang w:eastAsia="zh-CN"/>
        </w:rPr>
        <w:t>半</w:t>
      </w:r>
      <w:r>
        <w:rPr>
          <w:rFonts w:hint="eastAsia" w:ascii="仿宋_GB2312" w:hAnsi="仿宋_GB2312" w:eastAsia="仿宋_GB2312" w:cs="仿宋_GB2312"/>
          <w:sz w:val="32"/>
          <w:szCs w:val="32"/>
        </w:rPr>
        <w:t>年，且交付时原厂包装完好，无任何质量缺陷；设备中所装的软件必须是最新的版本。</w:t>
      </w:r>
    </w:p>
    <w:p w14:paraId="2833E9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中标人随设备提供设备的中文说明书、中文使用手册</w:t>
      </w:r>
      <w:r>
        <w:rPr>
          <w:rFonts w:hint="eastAsia" w:ascii="仿宋_GB2312" w:hAnsi="仿宋_GB2312" w:eastAsia="仿宋_GB2312" w:cs="仿宋_GB2312"/>
          <w:sz w:val="32"/>
          <w:szCs w:val="32"/>
          <w:lang w:eastAsia="zh-CN"/>
        </w:rPr>
        <w:t>。</w:t>
      </w:r>
    </w:p>
    <w:p w14:paraId="19BAD0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安装调试完毕后，所有设备必须能保证能正常运行并满足采购人购买时所声明的使用需求。</w:t>
      </w:r>
    </w:p>
    <w:p w14:paraId="678A443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eastAsia="zh-CN"/>
        </w:rPr>
        <w:t>（三）售后服务。</w:t>
      </w:r>
    </w:p>
    <w:p w14:paraId="5BA042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整机(含所有零配件)原厂保修期至少</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sz w:val="32"/>
          <w:szCs w:val="32"/>
        </w:rPr>
        <w:t>年（在保修期内维修时提供的设备零配件须为原厂生产的合格产品），人为因素</w:t>
      </w:r>
      <w:r>
        <w:rPr>
          <w:rFonts w:hint="eastAsia" w:ascii="仿宋_GB2312" w:hAnsi="仿宋_GB2312" w:eastAsia="仿宋_GB2312" w:cs="仿宋_GB2312"/>
          <w:sz w:val="32"/>
          <w:szCs w:val="32"/>
          <w:lang w:eastAsia="zh-CN"/>
        </w:rPr>
        <w:t>除外</w:t>
      </w:r>
      <w:r>
        <w:rPr>
          <w:rFonts w:hint="eastAsia" w:ascii="仿宋_GB2312" w:hAnsi="仿宋_GB2312" w:eastAsia="仿宋_GB2312" w:cs="仿宋_GB2312"/>
          <w:sz w:val="32"/>
          <w:szCs w:val="32"/>
        </w:rPr>
        <w:t>。乙方需提供设备生产商或国内总代理上述保修方案的服务书。</w:t>
      </w:r>
    </w:p>
    <w:p w14:paraId="2EECB05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保修期内至少每季度1次按生产商保养标准做1次保养（该费用已包含在本合同总价中），并出具报告交采购人设备科留存。供应商未履行前述维修和保养服务的，采购人有权不支付尾款，尾款金额不足以赔偿采购人损失的，采购人有权要求供应商承担继续赔偿责任。    </w:t>
      </w:r>
    </w:p>
    <w:p w14:paraId="3D8E2F7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三、其他要求</w:t>
      </w:r>
    </w:p>
    <w:p w14:paraId="375E29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eastAsia="zh-CN"/>
        </w:rPr>
        <w:t>货款</w:t>
      </w:r>
      <w:r>
        <w:rPr>
          <w:rFonts w:hint="eastAsia" w:ascii="仿宋_GB2312" w:hAnsi="仿宋_GB2312" w:eastAsia="仿宋_GB2312" w:cs="仿宋_GB2312"/>
          <w:sz w:val="32"/>
          <w:szCs w:val="32"/>
        </w:rPr>
        <w:t>分三期支付货款，合同签订生效后的30个工作日，支付合同总金额的30%；安装调试完毕并验收合格、入库后的</w:t>
      </w:r>
      <w:r>
        <w:rPr>
          <w:rFonts w:hint="eastAsia" w:ascii="仿宋_GB2312" w:hAnsi="仿宋_GB2312" w:eastAsia="仿宋_GB2312" w:cs="仿宋_GB2312"/>
          <w:sz w:val="32"/>
          <w:szCs w:val="32"/>
          <w:lang w:eastAsia="zh-CN"/>
        </w:rPr>
        <w:t>三个月内</w:t>
      </w:r>
      <w:r>
        <w:rPr>
          <w:rFonts w:hint="eastAsia" w:ascii="仿宋_GB2312" w:hAnsi="仿宋_GB2312" w:eastAsia="仿宋_GB2312" w:cs="仿宋_GB2312"/>
          <w:sz w:val="32"/>
          <w:szCs w:val="32"/>
        </w:rPr>
        <w:t>，将支付合同总金额的60%；合同签订生效十八个月后，确认无其它扣款事项后30个工作日，将支付余下款项（合同总金额的10%）。</w:t>
      </w:r>
    </w:p>
    <w:p w14:paraId="29E0E8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（二）如报价产品在使用过程中如需消耗耗材或试剂，必须在标书内列明并报价格、</w:t>
      </w:r>
      <w:r>
        <w:rPr>
          <w:rFonts w:hint="eastAsia" w:ascii="仿宋_GB2312" w:hAnsi="仿宋_GB2312" w:eastAsia="仿宋_GB2312" w:cs="仿宋_GB2312"/>
          <w:sz w:val="32"/>
          <w:szCs w:val="32"/>
        </w:rPr>
        <w:t>药品和医用耗材招采管理系统(广东省)</w:t>
      </w:r>
      <w:r>
        <w:rPr>
          <w:rFonts w:hint="eastAsia" w:ascii="仿宋_GB2312" w:hAnsi="仿宋_GB2312" w:eastAsia="仿宋_GB2312" w:cs="仿宋_GB2312"/>
          <w:sz w:val="32"/>
          <w:szCs w:val="32"/>
          <w:lang w:eastAsia="zh-CN"/>
        </w:rPr>
        <w:t>耗材</w:t>
      </w:r>
      <w:r>
        <w:rPr>
          <w:rFonts w:hint="eastAsia" w:ascii="仿宋_GB2312" w:hAnsi="仿宋_GB2312" w:eastAsia="仿宋_GB2312" w:cs="仿宋_GB2312"/>
          <w:sz w:val="32"/>
          <w:szCs w:val="32"/>
        </w:rPr>
        <w:t>编号（药交耗材ID）</w:t>
      </w:r>
      <w:r>
        <w:rPr>
          <w:rFonts w:hint="eastAsia" w:ascii="仿宋_GB2312" w:hAnsi="仿宋_GB2312" w:eastAsia="仿宋_GB2312" w:cs="仿宋_GB2312"/>
          <w:sz w:val="32"/>
          <w:szCs w:val="32"/>
          <w:lang w:eastAsia="zh-CN"/>
        </w:rPr>
        <w:t>。报价单中未明确的专机专用耗材（配套耗材、非械耗材），默认为免费提供配套使用。</w:t>
      </w:r>
    </w:p>
    <w:p w14:paraId="3A10B4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本项目所述产品及技术要求，应视为保证项目投入运行所需的最低要求，并无指定。投标人可选用技术参数相当或更优的产品进行响应，也可以对产品配套的细节部分加以明确和优化。</w:t>
      </w:r>
    </w:p>
    <w:p w14:paraId="1412DFE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响应报价应为交付采购人使用前（包括伴随服务）的总价格。应包括设备费、备品备件费、各种税费、相关费用（运输、包装、安装调试费、装卸费、保险费）以及伴随服务费(验收、首次计量校准、培训、维修等的售后服务)等的一切费用。</w:t>
      </w:r>
    </w:p>
    <w:p w14:paraId="225F88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投标供应商（或厂家）需承诺免费承担与临床信息系统接口费用</w:t>
      </w:r>
      <w:r>
        <w:rPr>
          <w:rFonts w:hint="eastAsia" w:ascii="仿宋_GB2312" w:hAnsi="仿宋_GB2312" w:eastAsia="仿宋_GB2312" w:cs="仿宋_GB2312"/>
          <w:sz w:val="32"/>
          <w:szCs w:val="32"/>
          <w:lang w:eastAsia="zh-CN"/>
        </w:rPr>
        <w:t>。</w:t>
      </w:r>
    </w:p>
    <w:p w14:paraId="2DF498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投标人应保证所有投标产品是按照采购人提供的要求进行供货，如出现使用、包装等方面的问题，投标人须无条件给予退换。</w:t>
      </w:r>
      <w:bookmarkStart w:id="0" w:name="_GoBack"/>
      <w:bookmarkEnd w:id="0"/>
    </w:p>
    <w:p w14:paraId="2400A2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（七）不合格的货物将被无条件退货，由此而产生的费用将由中标供应商负责；由于提供不符合质量要求的货物而使台山市妇幼保健院增加的成本将由中标供应商补偿。</w:t>
      </w:r>
    </w:p>
    <w:p w14:paraId="7F4DFDDA"/>
    <w:sectPr>
      <w:pgSz w:w="11906" w:h="16838"/>
      <w:pgMar w:top="215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2267C"/>
    <w:rsid w:val="38146E1B"/>
    <w:rsid w:val="5AFB3394"/>
    <w:rsid w:val="6387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2025-04-14T06:43:00Z</dcterms:created>
  <dc:creator>sbk003</dc:creator>
  <cp:lastModifiedBy>郭伟国</cp:lastModifiedBy>
  <dcterms:modified xsi:type="dcterms:W3CDTF">2025-04-18T03:00:48Z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192686870AE04EDCBF09177071629813_12</vt:lpwstr>
  </property>
</Properties>
</file>