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759"/>
        </w:tabs>
        <w:spacing w:line="360" w:lineRule="auto"/>
        <w:ind w:left="0" w:leftChars="0" w:firstLine="0" w:firstLineChars="0"/>
        <w:jc w:val="left"/>
        <w:rPr>
          <w:rFonts w:hint="eastAsia"/>
          <w:b/>
          <w:bCs/>
          <w:sz w:val="28"/>
          <w:szCs w:val="28"/>
          <w:lang w:val="en-US" w:eastAsia="zh-CN"/>
        </w:rPr>
      </w:pPr>
      <w:r>
        <w:rPr>
          <w:rFonts w:hint="eastAsia"/>
          <w:b/>
          <w:bCs/>
          <w:sz w:val="28"/>
          <w:szCs w:val="28"/>
          <w:lang w:val="en-US" w:eastAsia="zh-CN"/>
        </w:rPr>
        <w:t>附件一</w:t>
      </w:r>
    </w:p>
    <w:p>
      <w:pPr>
        <w:pStyle w:val="8"/>
        <w:tabs>
          <w:tab w:val="left" w:pos="759"/>
        </w:tabs>
        <w:spacing w:line="360" w:lineRule="auto"/>
        <w:ind w:left="0" w:leftChars="0" w:firstLine="0" w:firstLineChars="0"/>
        <w:jc w:val="center"/>
        <w:rPr>
          <w:rFonts w:hint="eastAsia"/>
          <w:b/>
          <w:bCs/>
          <w:sz w:val="28"/>
          <w:szCs w:val="28"/>
          <w:lang w:val="en-US" w:eastAsia="zh-CN"/>
        </w:rPr>
      </w:pPr>
      <w:r>
        <w:rPr>
          <w:rFonts w:hint="eastAsia"/>
          <w:b/>
          <w:bCs/>
          <w:sz w:val="28"/>
          <w:szCs w:val="28"/>
          <w:lang w:val="en-US" w:eastAsia="zh-CN"/>
        </w:rPr>
        <w:t>一、项目技术要求</w:t>
      </w:r>
    </w:p>
    <w:tbl>
      <w:tblPr>
        <w:tblStyle w:val="6"/>
        <w:tblW w:w="968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76"/>
        <w:gridCol w:w="1433"/>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9" w:hRule="atLeast"/>
        </w:trPr>
        <w:tc>
          <w:tcPr>
            <w:tcW w:w="9680" w:type="dxa"/>
            <w:gridSpan w:val="3"/>
            <w:shd w:val="clear" w:color="auto" w:fill="00B0F0"/>
            <w:vAlign w:val="center"/>
          </w:tcPr>
          <w:p>
            <w:pPr>
              <w:keepNext w:val="0"/>
              <w:keepLines w:val="0"/>
              <w:widowControl/>
              <w:suppressLineNumbers w:val="0"/>
              <w:jc w:val="center"/>
              <w:textAlignment w:val="center"/>
              <w:rPr>
                <w:rFonts w:ascii="黑体" w:hAnsi="宋体" w:eastAsia="黑体" w:cs="黑体"/>
                <w:i w:val="0"/>
                <w:iCs w:val="0"/>
                <w:color w:val="FFFFFF"/>
                <w:sz w:val="56"/>
                <w:szCs w:val="56"/>
                <w:u w:val="none"/>
              </w:rPr>
            </w:pPr>
            <w:bookmarkStart w:id="0" w:name="_GoBack"/>
            <w:r>
              <w:rPr>
                <w:rFonts w:hint="eastAsia" w:ascii="黑体" w:hAnsi="宋体" w:eastAsia="黑体" w:cs="黑体"/>
                <w:i w:val="0"/>
                <w:iCs w:val="0"/>
                <w:color w:val="auto"/>
                <w:kern w:val="0"/>
                <w:sz w:val="28"/>
                <w:szCs w:val="28"/>
                <w:u w:val="none"/>
                <w:lang w:val="en-US" w:eastAsia="zh-CN" w:bidi="ar"/>
              </w:rPr>
              <w:t>需求分析表</w:t>
            </w:r>
            <w:r>
              <w:rPr>
                <w:rFonts w:hint="eastAsia" w:ascii="黑体" w:hAnsi="宋体" w:eastAsia="黑体" w:cs="黑体"/>
                <w:i w:val="0"/>
                <w:iCs w:val="0"/>
                <w:color w:val="FFFFFF"/>
                <w:kern w:val="0"/>
                <w:sz w:val="28"/>
                <w:szCs w:val="28"/>
                <w:u w:val="none"/>
                <w:lang w:val="en-US" w:eastAsia="zh-CN" w:bidi="ar"/>
              </w:rPr>
              <w:t xml:space="preserve"> </w:t>
            </w:r>
            <w:r>
              <w:rPr>
                <w:rFonts w:hint="eastAsia" w:ascii="黑体" w:hAnsi="宋体" w:eastAsia="黑体" w:cs="黑体"/>
                <w:i w:val="0"/>
                <w:iCs w:val="0"/>
                <w:color w:val="FFFFFF"/>
                <w:kern w:val="0"/>
                <w:sz w:val="56"/>
                <w:szCs w:val="56"/>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476" w:type="dxa"/>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一级模块</w:t>
            </w:r>
          </w:p>
        </w:tc>
        <w:tc>
          <w:tcPr>
            <w:tcW w:w="1433" w:type="dxa"/>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二级模块</w:t>
            </w:r>
          </w:p>
        </w:tc>
        <w:tc>
          <w:tcPr>
            <w:tcW w:w="6771" w:type="dxa"/>
            <w:shd w:val="clear" w:color="auto" w:fill="92D05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4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微信登录</w:t>
            </w:r>
          </w:p>
        </w:tc>
        <w:tc>
          <w:tcPr>
            <w:tcW w:w="1433"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w:t>
            </w:r>
          </w:p>
        </w:tc>
        <w:tc>
          <w:tcPr>
            <w:tcW w:w="6771"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首次登录需要授权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1476" w:type="dxa"/>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轮播图</w:t>
            </w:r>
          </w:p>
        </w:tc>
        <w:tc>
          <w:tcPr>
            <w:tcW w:w="8204"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3-5张轮播图，轮播图可以跳转小程序内部链接页面。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1476" w:type="dxa"/>
            <w:vMerge w:val="restart"/>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点餐管理</w:t>
            </w:r>
          </w:p>
        </w:tc>
        <w:tc>
          <w:tcPr>
            <w:tcW w:w="143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点餐页面入口</w:t>
            </w:r>
          </w:p>
        </w:tc>
        <w:tc>
          <w:tcPr>
            <w:tcW w:w="677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工作人员代客点餐入口端（输入工号/住院门诊号）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病人床头扫码点餐，一床一码（病人输入相关信息，自动保存）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31" w:hRule="atLeast"/>
        </w:trPr>
        <w:tc>
          <w:tcPr>
            <w:tcW w:w="1476" w:type="dxa"/>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143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扫码点餐</w:t>
            </w:r>
          </w:p>
        </w:tc>
        <w:tc>
          <w:tcPr>
            <w:tcW w:w="677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暂定以门诊号作为识别码，绑定患者姓名，住院号，身份证号（选填），体质标签，饮食信息，就餐信息。床头二维码仅联系床号（xx科几号床）。如中途转床，由患者扫码就完成转床变更。送餐员送餐会再次确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扫码点餐后输入相关门诊号，姓名等信息如有辨识仪患者体质标签，点餐系统界面则出现建议进食菜单和禁忌食品（带警示框高光显示)和普通餐点，如无则跳出普通餐点界面。带体质标签辨识的点餐界面加上金边作为标识或显示体质标签标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3.扫码点餐进入界面有引导点餐说明提示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95" w:hRule="atLeast"/>
        </w:trPr>
        <w:tc>
          <w:tcPr>
            <w:tcW w:w="1476" w:type="dxa"/>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143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菜品展示</w:t>
            </w:r>
          </w:p>
        </w:tc>
        <w:tc>
          <w:tcPr>
            <w:tcW w:w="677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1.医院提供食品成分和菜品的食物组成，分量，菜品的营养成分标签，自动计算生成相应菜单。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2.支持增删菜品，单个菜品可选择口味配料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3.显示菜品详情介绍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10" w:hRule="atLeast"/>
        </w:trPr>
        <w:tc>
          <w:tcPr>
            <w:tcW w:w="1476" w:type="dxa"/>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143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预定点餐</w:t>
            </w:r>
          </w:p>
        </w:tc>
        <w:tc>
          <w:tcPr>
            <w:tcW w:w="677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提前一日预定，退改订单，暂定需要微信预充值（可后台操作关闭），一日点餐后实时付款，时限内退款（原路径）功能（例如，提前一天16点可以改退早餐，9点前可以改退午餐，12点前改退晚餐。部分特殊菜品仅限提前一天改退，修改时间可能后续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2.后台支持更改已点餐患者的病床号暂定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1476" w:type="dxa"/>
            <w:vMerge w:val="continue"/>
            <w:shd w:val="clear" w:color="auto" w:fill="FFFFFF"/>
            <w:vAlign w:val="center"/>
          </w:tcPr>
          <w:p>
            <w:pPr>
              <w:jc w:val="center"/>
              <w:rPr>
                <w:rFonts w:hint="eastAsia" w:ascii="宋体" w:hAnsi="宋体" w:eastAsia="宋体" w:cs="宋体"/>
                <w:i w:val="0"/>
                <w:iCs w:val="0"/>
                <w:color w:val="000000"/>
                <w:sz w:val="24"/>
                <w:szCs w:val="24"/>
                <w:u w:val="none"/>
              </w:rPr>
            </w:pPr>
          </w:p>
        </w:tc>
        <w:tc>
          <w:tcPr>
            <w:tcW w:w="143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菜品价格</w:t>
            </w:r>
          </w:p>
        </w:tc>
        <w:tc>
          <w:tcPr>
            <w:tcW w:w="677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点餐界面菜品价格，根据不同身份，显示不同价格（如职工，住院病人，院外人员等）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2909"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配送</w:t>
            </w:r>
          </w:p>
        </w:tc>
        <w:tc>
          <w:tcPr>
            <w:tcW w:w="677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自提/配送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4" w:hRule="atLeast"/>
        </w:trPr>
        <w:tc>
          <w:tcPr>
            <w:tcW w:w="2909"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订单消息实时提醒</w:t>
            </w:r>
          </w:p>
        </w:tc>
        <w:tc>
          <w:tcPr>
            <w:tcW w:w="677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可收到微信通知，短信通知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2909"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支付方式</w:t>
            </w:r>
          </w:p>
        </w:tc>
        <w:tc>
          <w:tcPr>
            <w:tcW w:w="677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微信支付，预充值。退款方式：暂定限时原路返回或经院方工作人员同意线下退款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4" w:hRule="atLeast"/>
        </w:trPr>
        <w:tc>
          <w:tcPr>
            <w:tcW w:w="2909"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权限管理</w:t>
            </w:r>
          </w:p>
        </w:tc>
        <w:tc>
          <w:tcPr>
            <w:tcW w:w="677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后台自动添加删减管理员身份，对应人员分配权限管理。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2909"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系统对接</w:t>
            </w:r>
          </w:p>
        </w:tc>
        <w:tc>
          <w:tcPr>
            <w:tcW w:w="677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对接辨析仪(URL/API接口)报告中备注部分的患者标签，接入小程序点餐系统，对接医院病患信息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5" w:hRule="atLeast"/>
        </w:trPr>
        <w:tc>
          <w:tcPr>
            <w:tcW w:w="2909" w:type="dxa"/>
            <w:gridSpan w:val="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数据统计</w:t>
            </w:r>
          </w:p>
        </w:tc>
        <w:tc>
          <w:tcPr>
            <w:tcW w:w="677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1.餐品和收款汇总报表按每日每月每年显示(环比汇总待定)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2.餐品需要后台显示大中小类汇总，例如汤类，茶饮等等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3.基础食物数据和营养组成标，以excel表格方式导入，导出，后台删除上传，不可编辑</w:t>
            </w:r>
          </w:p>
        </w:tc>
      </w:tr>
      <w:bookmarkEnd w:id="0"/>
    </w:tbl>
    <w:p>
      <w:pPr>
        <w:pStyle w:val="5"/>
        <w:ind w:left="0" w:leftChars="0" w:firstLine="0" w:firstLineChars="0"/>
        <w:rPr>
          <w:rFonts w:hint="eastAsia" w:ascii="宋体" w:hAnsi="宋体" w:eastAsia="宋体" w:cs="宋体"/>
          <w:b/>
          <w:bCs/>
          <w:color w:val="000000"/>
          <w:sz w:val="28"/>
          <w:szCs w:val="28"/>
          <w:u w:val="none"/>
          <w:shd w:val="clear" w:color="auto" w:fill="auto"/>
          <w:lang w:val="en-US" w:eastAsia="zh-CN" w:bidi="zh-TW"/>
        </w:rPr>
      </w:pPr>
    </w:p>
    <w:p>
      <w:pPr>
        <w:pStyle w:val="8"/>
        <w:numPr>
          <w:numId w:val="0"/>
        </w:numPr>
        <w:shd w:val="clear" w:color="auto" w:fill="auto"/>
        <w:tabs>
          <w:tab w:val="left" w:pos="759"/>
        </w:tabs>
        <w:spacing w:line="360" w:lineRule="auto"/>
        <w:ind w:leftChars="0"/>
        <w:jc w:val="center"/>
        <w:rPr>
          <w:rFonts w:hint="default"/>
          <w:b/>
          <w:bCs/>
          <w:sz w:val="28"/>
          <w:szCs w:val="28"/>
          <w:lang w:val="en-US" w:eastAsia="zh-CN"/>
        </w:rPr>
      </w:pPr>
      <w:r>
        <w:rPr>
          <w:rFonts w:hint="eastAsia"/>
          <w:b/>
          <w:bCs/>
          <w:sz w:val="28"/>
          <w:szCs w:val="28"/>
          <w:lang w:val="en-US" w:eastAsia="zh-CN"/>
        </w:rPr>
        <w:t>二、项目商务要求</w:t>
      </w:r>
    </w:p>
    <w:p>
      <w:pPr>
        <w:pStyle w:val="4"/>
        <w:pageBreakBefore w:val="0"/>
        <w:kinsoku/>
        <w:wordWrap/>
        <w:overflowPunct/>
        <w:topLinePunct w:val="0"/>
        <w:bidi w:val="0"/>
        <w:snapToGrid/>
        <w:spacing w:line="360" w:lineRule="auto"/>
        <w:rPr>
          <w:rFonts w:hint="eastAsia" w:hAnsi="宋体"/>
          <w:b/>
          <w:bCs/>
          <w:color w:val="auto"/>
          <w:sz w:val="24"/>
          <w:szCs w:val="24"/>
          <w:highlight w:val="none"/>
        </w:rPr>
      </w:pPr>
      <w:r>
        <w:rPr>
          <w:rFonts w:hint="eastAsia" w:hAnsi="宋体"/>
          <w:b/>
          <w:bCs/>
          <w:color w:val="auto"/>
          <w:sz w:val="24"/>
          <w:szCs w:val="24"/>
          <w:highlight w:val="none"/>
          <w:lang w:val="en-US" w:eastAsia="zh-CN"/>
        </w:rPr>
        <w:t>1、</w:t>
      </w:r>
      <w:r>
        <w:rPr>
          <w:rFonts w:hint="eastAsia" w:hAnsi="宋体"/>
          <w:b/>
          <w:bCs/>
          <w:color w:val="auto"/>
          <w:sz w:val="24"/>
          <w:szCs w:val="24"/>
          <w:highlight w:val="none"/>
        </w:rPr>
        <w:t>售后服务：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（1）本项目后续维护服务由成交供应商提供。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维护期：一年。成交供应商提供定期升级服务，保证更新及时性，使用户软件始终为最新版本。软件出现使用问题时，成交供应商应提供实时在线服务，24小时内响应，常规问题48小时内解决；如疑难问题，派工程师提供现场维修，服务费用包含在本项目的磋商报价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（3）故障响应及解决时间：供应商应当有可上门作检查及维修的工程技术人员，软件出现异常或故障时，自报障时起算，24小时内响应，常规问题48小时内解决</w:t>
      </w:r>
      <w:r>
        <w:rPr>
          <w:rFonts w:hint="eastAsia" w:ascii="宋体" w:hAnsi="宋体" w:eastAsia="宋体" w:cs="Times New Roman"/>
          <w:color w:val="auto"/>
          <w:kern w:val="2"/>
          <w:sz w:val="24"/>
          <w:szCs w:val="24"/>
          <w:highlight w:val="none"/>
          <w:lang w:val="en-US" w:eastAsia="zh-CN" w:bidi="ar-SA"/>
        </w:rPr>
        <w:t>；如疑难问题，派工程师提供现场服务。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（4）成交供应商应定期对系统的软件进行检测，发现故障，排除隐患，提出改进意见。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（5）成交供应商应高度重视检查过程中发现的异常情况，及时通知维护人员，查找原因，排除故障隐患。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6）系统所涉及到需求内的软件缺陷进行调试修复，比如程序出错、接口信息不显示等，及时安排人员进行排查并恢复正常，确保系统的稳定运行。对系统进行日常运行监控，及时处理运行故障，确保平台稳定运行，为数据对接工作</w:t>
      </w:r>
      <w:r>
        <w:rPr>
          <w:rFonts w:hint="eastAsia" w:ascii="宋体" w:hAnsi="宋体" w:eastAsia="宋体" w:cs="宋体"/>
          <w:color w:val="auto"/>
          <w:kern w:val="2"/>
          <w:sz w:val="24"/>
          <w:szCs w:val="24"/>
          <w:highlight w:val="none"/>
          <w:lang w:val="en-US" w:eastAsia="zh-CN" w:bidi="ar-SA"/>
        </w:rPr>
        <w:t>提供稳定可靠的服务。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2、交货期</w:t>
      </w:r>
    </w:p>
    <w:p>
      <w:pPr>
        <w:pStyle w:val="5"/>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baseline"/>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开发周期：</w:t>
      </w:r>
      <w:r>
        <w:rPr>
          <w:rFonts w:hint="eastAsia" w:ascii="宋体" w:hAnsi="宋体" w:eastAsia="宋体" w:cs="宋体"/>
          <w:color w:val="auto"/>
          <w:sz w:val="24"/>
          <w:szCs w:val="28"/>
          <w:highlight w:val="none"/>
        </w:rPr>
        <w:t>合同签订生效后</w:t>
      </w:r>
      <w:r>
        <w:rPr>
          <w:rFonts w:hint="eastAsia" w:ascii="宋体" w:hAnsi="宋体" w:eastAsia="宋体" w:cs="宋体"/>
          <w:color w:val="auto"/>
          <w:sz w:val="24"/>
          <w:szCs w:val="28"/>
          <w:highlight w:val="none"/>
          <w:u w:val="single"/>
          <w:lang w:val="en-US" w:eastAsia="zh-CN"/>
        </w:rPr>
        <w:t xml:space="preserve"> 45 </w:t>
      </w:r>
      <w:r>
        <w:rPr>
          <w:rFonts w:hint="eastAsia" w:ascii="宋体" w:hAnsi="宋体" w:eastAsia="宋体" w:cs="宋体"/>
          <w:color w:val="auto"/>
          <w:sz w:val="24"/>
          <w:szCs w:val="28"/>
          <w:highlight w:val="none"/>
        </w:rPr>
        <w:t>个</w:t>
      </w:r>
      <w:r>
        <w:rPr>
          <w:rFonts w:hint="eastAsia" w:ascii="宋体" w:hAnsi="宋体" w:eastAsia="宋体" w:cs="宋体"/>
          <w:color w:val="auto"/>
          <w:sz w:val="24"/>
          <w:szCs w:val="22"/>
          <w:highlight w:val="none"/>
          <w:lang w:val="en-US" w:eastAsia="zh-CN"/>
        </w:rPr>
        <w:t>工作日。</w:t>
      </w:r>
    </w:p>
    <w:p>
      <w:pPr>
        <w:pStyle w:val="5"/>
        <w:spacing w:line="360" w:lineRule="auto"/>
        <w:ind w:left="0" w:leftChars="0" w:firstLine="0" w:firstLineChars="0"/>
        <w:rPr>
          <w:rFonts w:hint="eastAsia"/>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3、项目地点：江门市台山市台城环北大道80号（以合同签订为准）。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4、保密要求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本项目服务期及维护过程中的资料成交供应商应将保密资料作为商业秘密予以保护，且不得将该保密资料任何部分或全部进行复制或向第三方披露。成交供应商仅可为本项目确有知悉必要的实施主要人员披露采购人提供的保密资料，但同时须指示其实施主要人员遵守所规定的保密及不披露义务。成交供应商应对根据双方约定接受的保密资料妥善保管。对于保密资料在成交供应商期间发生的被盗、遗失、不慎泄露以及其他对其保密性存在现实或潜在损害的事件，成交供应商应承担全部责任，并赔偿采购人因此遭受的直接经济损失。本项目服务期及维护期结束或保密协定解除后，一方必须销毁所有保密资料的复制件并将原件返还给另一方。</w:t>
      </w:r>
      <w:r>
        <w:rPr>
          <w:rFonts w:hint="default" w:ascii="宋体" w:hAnsi="宋体" w:eastAsia="宋体" w:cs="Times New Roman"/>
          <w:color w:val="auto"/>
          <w:kern w:val="2"/>
          <w:sz w:val="24"/>
          <w:szCs w:val="24"/>
          <w:highlight w:val="none"/>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（2）法律或有管辖权的法院要求成交供应商披露的，成交供应商应在合理的时间提前通知采购人，使其得以采取其认为必要的保护措施。</w:t>
      </w:r>
    </w:p>
    <w:p>
      <w:pPr>
        <w:pStyle w:val="4"/>
        <w:pageBreakBefore w:val="0"/>
        <w:kinsoku/>
        <w:wordWrap/>
        <w:overflowPunct/>
        <w:topLinePunct w:val="0"/>
        <w:bidi w:val="0"/>
        <w:snapToGrid/>
        <w:spacing w:line="360" w:lineRule="auto"/>
        <w:rPr>
          <w:rFonts w:hint="eastAsia" w:hAnsi="宋体"/>
          <w:b/>
          <w:bCs/>
          <w:color w:val="auto"/>
          <w:sz w:val="24"/>
          <w:szCs w:val="24"/>
          <w:highlight w:val="none"/>
        </w:rPr>
      </w:pPr>
      <w:r>
        <w:rPr>
          <w:rFonts w:hint="eastAsia" w:hAnsi="宋体"/>
          <w:b/>
          <w:bCs/>
          <w:color w:val="auto"/>
          <w:sz w:val="24"/>
          <w:szCs w:val="24"/>
          <w:highlight w:val="none"/>
          <w:lang w:val="en-US" w:eastAsia="zh-CN"/>
        </w:rPr>
        <w:t>5</w:t>
      </w:r>
      <w:r>
        <w:rPr>
          <w:rFonts w:hint="eastAsia" w:hAnsi="宋体"/>
          <w:b/>
          <w:bCs/>
          <w:color w:val="auto"/>
          <w:sz w:val="24"/>
          <w:szCs w:val="24"/>
          <w:highlight w:val="none"/>
        </w:rPr>
        <w:t>、付款方式：</w:t>
      </w:r>
      <w:r>
        <w:rPr>
          <w:rFonts w:hint="eastAsia" w:hAnsi="宋体"/>
          <w:b/>
          <w:bCs/>
          <w:color w:val="auto"/>
          <w:sz w:val="24"/>
          <w:szCs w:val="24"/>
          <w:highlight w:val="none"/>
          <w:lang w:val="en-US" w:eastAsia="zh-CN"/>
        </w:rPr>
        <w:t>分期付款</w:t>
      </w:r>
      <w:r>
        <w:rPr>
          <w:rFonts w:hint="eastAsia" w:hAnsi="宋体"/>
          <w:b/>
          <w:bCs/>
          <w:color w:val="auto"/>
          <w:sz w:val="24"/>
          <w:szCs w:val="24"/>
          <w:highlight w:val="none"/>
        </w:rPr>
        <w:t>。</w:t>
      </w:r>
    </w:p>
    <w:p>
      <w:pPr>
        <w:pStyle w:val="4"/>
        <w:pageBreakBefore w:val="0"/>
        <w:kinsoku/>
        <w:wordWrap/>
        <w:overflowPunct/>
        <w:topLinePunct w:val="0"/>
        <w:bidi w:val="0"/>
        <w:snapToGrid/>
        <w:spacing w:line="360" w:lineRule="auto"/>
        <w:ind w:firstLine="412" w:firstLineChars="171"/>
        <w:rPr>
          <w:rFonts w:hint="eastAsia" w:hAnsi="宋体" w:cs="宋体"/>
          <w:color w:val="auto"/>
          <w:sz w:val="24"/>
          <w:szCs w:val="24"/>
          <w:highlight w:val="none"/>
        </w:rPr>
      </w:pPr>
      <w:r>
        <w:rPr>
          <w:rFonts w:hint="eastAsia" w:hAnsi="宋体" w:cs="宋体"/>
          <w:b/>
          <w:bCs/>
          <w:color w:val="auto"/>
          <w:sz w:val="24"/>
          <w:szCs w:val="24"/>
          <w:highlight w:val="none"/>
        </w:rPr>
        <w:t>1期：</w:t>
      </w:r>
      <w:r>
        <w:rPr>
          <w:rFonts w:hint="eastAsia" w:hAnsi="宋体" w:cs="宋体"/>
          <w:color w:val="auto"/>
          <w:sz w:val="24"/>
          <w:szCs w:val="24"/>
          <w:highlight w:val="none"/>
        </w:rPr>
        <w:t>支付比例</w:t>
      </w:r>
      <w:r>
        <w:rPr>
          <w:rFonts w:hint="eastAsia" w:hAnsi="宋体" w:cs="宋体"/>
          <w:color w:val="auto"/>
          <w:sz w:val="24"/>
          <w:szCs w:val="24"/>
          <w:highlight w:val="none"/>
          <w:lang w:val="en-US" w:eastAsia="zh-CN"/>
        </w:rPr>
        <w:t>40</w:t>
      </w:r>
      <w:r>
        <w:rPr>
          <w:rFonts w:hint="eastAsia" w:hAnsi="宋体" w:cs="宋体"/>
          <w:color w:val="auto"/>
          <w:sz w:val="24"/>
          <w:szCs w:val="24"/>
          <w:highlight w:val="none"/>
        </w:rPr>
        <w:t>%，合同签订后</w:t>
      </w:r>
      <w:r>
        <w:rPr>
          <w:rFonts w:hint="eastAsia" w:hAnsi="宋体" w:cs="宋体"/>
          <w:color w:val="auto"/>
          <w:sz w:val="24"/>
          <w:szCs w:val="24"/>
          <w:highlight w:val="none"/>
          <w:lang w:val="en-US" w:eastAsia="zh-CN"/>
        </w:rPr>
        <w:t>首先</w:t>
      </w:r>
      <w:r>
        <w:rPr>
          <w:rFonts w:hint="eastAsia" w:hAnsi="宋体" w:cs="宋体"/>
          <w:color w:val="auto"/>
          <w:sz w:val="24"/>
          <w:szCs w:val="24"/>
          <w:highlight w:val="none"/>
        </w:rPr>
        <w:t>支付合同总额的</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0%；</w:t>
      </w:r>
    </w:p>
    <w:p>
      <w:pPr>
        <w:pStyle w:val="4"/>
        <w:pageBreakBefore w:val="0"/>
        <w:kinsoku/>
        <w:wordWrap/>
        <w:overflowPunct/>
        <w:topLinePunct w:val="0"/>
        <w:bidi w:val="0"/>
        <w:snapToGrid/>
        <w:spacing w:line="360" w:lineRule="auto"/>
        <w:ind w:firstLine="412" w:firstLineChars="171"/>
        <w:rPr>
          <w:rFonts w:hint="eastAsia" w:hAnsi="宋体" w:cs="宋体"/>
          <w:color w:val="auto"/>
          <w:sz w:val="24"/>
          <w:szCs w:val="24"/>
          <w:highlight w:val="none"/>
        </w:rPr>
      </w:pPr>
      <w:r>
        <w:rPr>
          <w:rFonts w:hint="eastAsia" w:hAnsi="宋体" w:cs="宋体"/>
          <w:b/>
          <w:bCs/>
          <w:color w:val="auto"/>
          <w:sz w:val="24"/>
          <w:szCs w:val="24"/>
          <w:highlight w:val="none"/>
        </w:rPr>
        <w:t>2期：</w:t>
      </w:r>
      <w:r>
        <w:rPr>
          <w:rFonts w:hint="eastAsia" w:hAnsi="宋体" w:cs="宋体"/>
          <w:color w:val="auto"/>
          <w:sz w:val="24"/>
          <w:szCs w:val="24"/>
          <w:highlight w:val="none"/>
        </w:rPr>
        <w:t>支付比例</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0%，UI板面确认无误</w:t>
      </w:r>
      <w:r>
        <w:rPr>
          <w:rFonts w:hint="eastAsia" w:hAnsi="宋体" w:cs="宋体"/>
          <w:color w:val="auto"/>
          <w:sz w:val="24"/>
          <w:szCs w:val="24"/>
          <w:highlight w:val="none"/>
          <w:lang w:val="en-US" w:eastAsia="zh-CN"/>
        </w:rPr>
        <w:t>后</w:t>
      </w:r>
      <w:r>
        <w:rPr>
          <w:rFonts w:hint="eastAsia" w:hAnsi="宋体" w:cs="宋体"/>
          <w:color w:val="auto"/>
          <w:sz w:val="24"/>
          <w:szCs w:val="24"/>
          <w:highlight w:val="none"/>
        </w:rPr>
        <w:t>支付合同总额的</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0%；</w:t>
      </w:r>
    </w:p>
    <w:p>
      <w:pPr>
        <w:pStyle w:val="4"/>
        <w:pageBreakBefore w:val="0"/>
        <w:kinsoku/>
        <w:wordWrap/>
        <w:overflowPunct/>
        <w:topLinePunct w:val="0"/>
        <w:bidi w:val="0"/>
        <w:snapToGrid/>
        <w:spacing w:line="360" w:lineRule="auto"/>
        <w:ind w:firstLine="412" w:firstLineChars="171"/>
        <w:rPr>
          <w:rFonts w:hint="eastAsia" w:ascii="宋体" w:hAnsi="宋体" w:eastAsia="宋体" w:cs="宋体"/>
          <w:b w:val="0"/>
          <w:bCs w:val="0"/>
          <w:color w:val="auto"/>
          <w:sz w:val="24"/>
          <w:szCs w:val="24"/>
          <w:highlight w:val="none"/>
          <w:lang w:val="en-US" w:eastAsia="en-US" w:bidi="en-US"/>
        </w:rPr>
      </w:pPr>
      <w:r>
        <w:rPr>
          <w:rFonts w:hint="eastAsia" w:ascii="宋体" w:hAnsi="宋体" w:eastAsia="宋体" w:cs="宋体"/>
          <w:b/>
          <w:bCs/>
          <w:color w:val="auto"/>
          <w:sz w:val="24"/>
          <w:szCs w:val="24"/>
          <w:highlight w:val="none"/>
          <w:lang w:val="en-US" w:eastAsia="en-US" w:bidi="en-US"/>
        </w:rPr>
        <w:t>3期：</w:t>
      </w:r>
      <w:r>
        <w:rPr>
          <w:rFonts w:hint="eastAsia" w:ascii="宋体" w:hAnsi="宋体" w:eastAsia="宋体" w:cs="宋体"/>
          <w:b w:val="0"/>
          <w:bCs w:val="0"/>
          <w:color w:val="auto"/>
          <w:sz w:val="24"/>
          <w:szCs w:val="24"/>
          <w:highlight w:val="none"/>
          <w:lang w:val="en-US" w:eastAsia="en-US" w:bidi="en-US"/>
        </w:rPr>
        <w:t>支付比例30%，开发完成测试无误</w:t>
      </w:r>
      <w:r>
        <w:rPr>
          <w:rFonts w:hint="eastAsia" w:ascii="宋体" w:hAnsi="宋体" w:eastAsia="宋体" w:cs="宋体"/>
          <w:b w:val="0"/>
          <w:bCs w:val="0"/>
          <w:color w:val="auto"/>
          <w:sz w:val="24"/>
          <w:szCs w:val="24"/>
          <w:highlight w:val="none"/>
          <w:lang w:val="en-US" w:eastAsia="zh-CN" w:bidi="en-US"/>
        </w:rPr>
        <w:t>后</w:t>
      </w:r>
      <w:r>
        <w:rPr>
          <w:rFonts w:hint="eastAsia" w:ascii="宋体" w:hAnsi="宋体" w:eastAsia="宋体" w:cs="宋体"/>
          <w:b w:val="0"/>
          <w:bCs w:val="0"/>
          <w:color w:val="auto"/>
          <w:sz w:val="24"/>
          <w:szCs w:val="24"/>
          <w:highlight w:val="none"/>
          <w:lang w:val="en-US" w:eastAsia="en-US" w:bidi="en-US"/>
        </w:rPr>
        <w:t>支付合同总额的30%。</w:t>
      </w:r>
    </w:p>
    <w:p>
      <w:pPr>
        <w:pStyle w:val="4"/>
        <w:pageBreakBefore w:val="0"/>
        <w:kinsoku/>
        <w:wordWrap/>
        <w:overflowPunct/>
        <w:topLinePunct w:val="0"/>
        <w:bidi w:val="0"/>
        <w:snapToGrid/>
        <w:spacing w:line="360" w:lineRule="auto"/>
        <w:rPr>
          <w:rFonts w:hint="eastAsia" w:ascii="宋体" w:hAnsi="宋体" w:eastAsia="宋体" w:cs="宋体"/>
          <w:b/>
          <w:bCs/>
          <w:color w:val="auto"/>
          <w:sz w:val="24"/>
          <w:szCs w:val="24"/>
          <w:highlight w:val="none"/>
          <w:lang w:val="en-US" w:eastAsia="en-US" w:bidi="en-US"/>
        </w:rPr>
      </w:pPr>
      <w:r>
        <w:rPr>
          <w:rFonts w:hint="eastAsia" w:hAnsi="宋体" w:cs="宋体"/>
          <w:b/>
          <w:bCs/>
          <w:color w:val="auto"/>
          <w:sz w:val="24"/>
          <w:szCs w:val="24"/>
          <w:highlight w:val="none"/>
          <w:lang w:val="en-US" w:eastAsia="zh-CN" w:bidi="en-US"/>
        </w:rPr>
        <w:t>6</w:t>
      </w:r>
      <w:r>
        <w:rPr>
          <w:rFonts w:hint="eastAsia" w:ascii="宋体" w:hAnsi="宋体" w:eastAsia="宋体" w:cs="宋体"/>
          <w:b/>
          <w:bCs/>
          <w:color w:val="auto"/>
          <w:sz w:val="24"/>
          <w:szCs w:val="24"/>
          <w:highlight w:val="none"/>
          <w:lang w:val="en-US" w:eastAsia="en-US" w:bidi="en-US"/>
        </w:rPr>
        <w:t>、法律责任</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en-US" w:bidi="en-US"/>
        </w:rPr>
      </w:pPr>
      <w:r>
        <w:rPr>
          <w:rFonts w:hint="eastAsia" w:hAnsi="宋体" w:cs="宋体"/>
          <w:b w:val="0"/>
          <w:bCs w:val="0"/>
          <w:color w:val="auto"/>
          <w:sz w:val="24"/>
          <w:szCs w:val="24"/>
          <w:highlight w:val="none"/>
          <w:lang w:val="en-US" w:eastAsia="zh-CN" w:bidi="en-US"/>
        </w:rPr>
        <w:t>（1）</w:t>
      </w:r>
      <w:r>
        <w:rPr>
          <w:rFonts w:hint="eastAsia" w:ascii="宋体" w:hAnsi="宋体" w:eastAsia="宋体" w:cs="宋体"/>
          <w:b w:val="0"/>
          <w:bCs w:val="0"/>
          <w:color w:val="auto"/>
          <w:sz w:val="24"/>
          <w:szCs w:val="24"/>
          <w:highlight w:val="none"/>
          <w:lang w:val="en-US" w:eastAsia="en-US" w:bidi="en-US"/>
        </w:rPr>
        <w:t>不合格的货物或服务将被无条件退货，由此而产生的费用将由成交供应商负责。</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en-US" w:bidi="en-US"/>
        </w:rPr>
      </w:pPr>
      <w:r>
        <w:rPr>
          <w:rFonts w:hint="eastAsia" w:hAnsi="宋体" w:cs="宋体"/>
          <w:b w:val="0"/>
          <w:bCs w:val="0"/>
          <w:color w:val="auto"/>
          <w:sz w:val="24"/>
          <w:szCs w:val="24"/>
          <w:highlight w:val="none"/>
          <w:lang w:val="en-US" w:eastAsia="zh-CN" w:bidi="en-US"/>
        </w:rPr>
        <w:t>（2）</w:t>
      </w:r>
      <w:r>
        <w:rPr>
          <w:rFonts w:hint="eastAsia" w:ascii="宋体" w:hAnsi="宋体" w:eastAsia="宋体" w:cs="宋体"/>
          <w:b w:val="0"/>
          <w:bCs w:val="0"/>
          <w:color w:val="auto"/>
          <w:sz w:val="24"/>
          <w:szCs w:val="24"/>
          <w:highlight w:val="none"/>
          <w:lang w:val="en-US" w:eastAsia="en-US" w:bidi="en-US"/>
        </w:rPr>
        <w:t>由于提供不符合质量要求的货物或服务而使台山市人民医院增加的成本将由成交供应商补偿。</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en-US" w:bidi="en-US"/>
        </w:rPr>
      </w:pPr>
      <w:r>
        <w:rPr>
          <w:rFonts w:hint="eastAsia" w:hAnsi="宋体" w:cs="宋体"/>
          <w:b w:val="0"/>
          <w:bCs w:val="0"/>
          <w:color w:val="auto"/>
          <w:sz w:val="24"/>
          <w:szCs w:val="24"/>
          <w:highlight w:val="none"/>
          <w:lang w:val="en-US" w:eastAsia="zh-CN" w:bidi="en-US"/>
        </w:rPr>
        <w:t>（3）</w:t>
      </w:r>
      <w:r>
        <w:rPr>
          <w:rFonts w:hint="eastAsia" w:ascii="宋体" w:hAnsi="宋体" w:eastAsia="宋体" w:cs="宋体"/>
          <w:b w:val="0"/>
          <w:bCs w:val="0"/>
          <w:color w:val="auto"/>
          <w:sz w:val="24"/>
          <w:szCs w:val="24"/>
          <w:highlight w:val="none"/>
          <w:lang w:val="en-US" w:eastAsia="en-US" w:bidi="en-US"/>
        </w:rPr>
        <w:t>成交供应商应严格遵守响应时作出的承诺，优先保证台山市人民医院所需货物或服务的质量、数量和时间要求，确保货物或服务的保障。如因成交供应商原因，导致台山市人民医院损失的，供应商应给予赔偿。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ZmQ3NDdjN2RlOTJiNWUyMjFlY2RkMmE4NGVlNjcifQ=="/>
  </w:docVars>
  <w:rsids>
    <w:rsidRoot w:val="3C3B36BE"/>
    <w:rsid w:val="3C3B36BE"/>
    <w:rsid w:val="631A0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entury" w:hAnsi="Century" w:eastAsia="Times New Roman" w:cs="Times New Roman"/>
      <w:color w:val="000000"/>
      <w:sz w:val="24"/>
      <w:szCs w:val="24"/>
      <w:lang w:val="en-US" w:eastAsia="en-US" w:bidi="en-US"/>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pPr>
    <w:rPr>
      <w:lang w:val="zh-CN"/>
    </w:rPr>
  </w:style>
  <w:style w:type="paragraph" w:styleId="3">
    <w:name w:val="Body Text Indent"/>
    <w:basedOn w:val="1"/>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4">
    <w:name w:val="Plain Text"/>
    <w:basedOn w:val="1"/>
    <w:qFormat/>
    <w:uiPriority w:val="0"/>
    <w:rPr>
      <w:rFonts w:ascii="宋体" w:hAnsi="Courier New" w:eastAsia="宋体"/>
      <w:sz w:val="21"/>
    </w:rPr>
  </w:style>
  <w:style w:type="paragraph" w:styleId="5">
    <w:name w:val="Body Text First Indent 2"/>
    <w:basedOn w:val="3"/>
    <w:next w:val="1"/>
    <w:qFormat/>
    <w:uiPriority w:val="0"/>
    <w:pPr>
      <w:autoSpaceDE/>
      <w:autoSpaceDN/>
      <w:adjustRightInd/>
      <w:snapToGrid w:val="0"/>
      <w:spacing w:line="360" w:lineRule="auto"/>
      <w:ind w:left="0" w:leftChars="0" w:firstLine="420" w:firstLineChars="200"/>
      <w:jc w:val="both"/>
    </w:pPr>
    <w:rPr>
      <w:rFonts w:ascii="Tahoma" w:hAnsi="Tahoma"/>
      <w:kern w:val="2"/>
      <w:sz w:val="28"/>
    </w:rPr>
  </w:style>
  <w:style w:type="paragraph" w:customStyle="1" w:styleId="8">
    <w:name w:val="Body text|1"/>
    <w:basedOn w:val="1"/>
    <w:qFormat/>
    <w:uiPriority w:val="0"/>
    <w:pPr>
      <w:widowControl w:val="0"/>
      <w:shd w:val="clear" w:color="auto" w:fill="auto"/>
      <w:spacing w:line="473"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1967</Words>
  <Characters>2012</Characters>
  <Lines>0</Lines>
  <Paragraphs>0</Paragraphs>
  <TotalTime>4</TotalTime>
  <ScaleCrop>false</ScaleCrop>
  <LinksUpToDate>false</LinksUpToDate>
  <CharactersWithSpaces>2021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2022-11-25T01:03:00Z</dcterms:created>
  <dc:creator>DCP</dc:creator>
  <cp:lastModifiedBy>DCP</cp:lastModifiedBy>
  <dcterms:modified xsi:type="dcterms:W3CDTF">2022-11-25T06:50:49Z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7FC36541664F456CA3ACE49A7D9B8803</vt:lpwstr>
  </property>
</Properties>
</file>