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color w:val="auto"/>
          <w:sz w:val="36"/>
          <w:szCs w:val="28"/>
          <w:highlight w:val="none"/>
          <w:lang w:val="en-US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一、项目技术要求</w:t>
      </w:r>
    </w:p>
    <w:p>
      <w:pPr>
        <w:jc w:val="center"/>
        <w:rPr>
          <w:rFonts w:ascii="宋体" w:hAnsi="宋体" w:eastAsia="宋体"/>
          <w:b/>
          <w:color w:val="auto"/>
          <w:sz w:val="24"/>
          <w:szCs w:val="21"/>
          <w:highlight w:val="none"/>
        </w:rPr>
      </w:pP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软件功能性要求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1、整体要求</w:t>
      </w:r>
    </w:p>
    <w:p>
      <w:pPr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产品为具有中医舌象、问诊（含体质辨识）等多种中医诊断数据采集与分析功能的一体化产品；</w:t>
      </w:r>
    </w:p>
    <w:p>
      <w:pP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2、中医药智能辅助辨证系统模块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）在中医基础理论指导下，在临床诊疗信息规范化、机构化基础上，运用人工智能方法和工具，模拟医生的辨证论治思维过程，采用八纲、脏腑、六经等辨证方法，从辨证、辨病及主症等多个角度进行分析诊断和处理。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2）须根据“主诉”“主症”“兼症”“舌象”“脉象”等多个中医症状，可智能辅助诊断至少142种疾病及517个证型。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3）须涵盖中医内科、外科、妇科、耳鼻喉科、眼科、骨伤科6大临床科室常见病症。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4）可根据智能辨证诊断结果，智能输出匹配的中成药建议，包括相关使用注意事项；输出的中成药须符合《国家基本药物临床应用指南（中成药）2012版》相关内容。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5）精选历代名家经典方药，291个汤剂，根据诊断结果智能匹配中药汤剂建议。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、舌象信息采集及分析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可客观采集舌象信息；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须支持被测者自助舌象信息采集；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可对采集的舌象图片进行全自动智能分析，输出相关中医定性判读；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须可提示舌象正常指标及异常指标；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须采用云服务存储，支持舌图云存储及图片本地导出；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、身心一体健康测评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普通人群体质辨识量表依据中华中医药学会标准ZYYXH/T 157--2009《中医体质分类与判定》的要求制定，可作为判断普通人群中医体质分类的标准化工具；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老年人体质辨识量表依据中医药健康管理服务技术规范-老年人中医药健康管理服务制定；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通过问诊模块的人机交互，软件自动分析，给出直观量化的体质辨识分析结果；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可自动输出符合标准的9 种基本体质以及百余种复合体质；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可提供不同体质对应的当令季节的个体化健康养生指导服务方案；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须提供中医体质辨识系统对应的软件著作权。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提供中医五态人格心理测评分析并能生成个体化养生方案；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依据《黄帝内经》中《通天篇》所论的“五态人”分类，即“太阴之人，少阴之人， 太阳之人，少阳之人和阴阳和平之人”，通过人格量表的人机交互，软件自动分析各人格特 征的阴阳含量，并与常模（正常标准）比对，确定人格特征的类型。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根据人格特征的类型，系统自动给出心理、行为等养生干预方案。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五态人格系统必须具有国家版权局出具的《五态辨识调心养生系统》计算机软件著作权证书；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、老年人高血压病辅助辨证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在中医理论指导下，须根据中医舌象等客观化信息，结合患者主诉等症状，进行中医四诊合参辨证，并可自动分析输出高血压慢病中医辨证结果；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根据中医辨证结果，须提供高血压慢病的健康指导方案；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问诊录入须能够区分主诉症状及一般症状；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须提供老年人高血压病辅助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辨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 xml:space="preserve">证系统软件著作权证书； 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须具有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饮食调养、导引保健、穴位按摩、足浴保健、药枕等方面的中医保健指导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须提供软件输出报告为证明材料。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、糖尿病辅助辨证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采集一般症状、舌诊信息进行整体辨证，可智能辨识糖尿病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中医证型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 xml:space="preserve"> 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根据辅助辨证结果，可提供不同季节的个性化养生指导建议，包含：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四季食疗养生、足浴保健等内容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须提供 糖尿病辅助辨识系统软件著作权证书；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、科普宣教</w:t>
      </w:r>
    </w:p>
    <w:p>
      <w:pPr>
        <w:pStyle w:val="10"/>
        <w:numPr>
          <w:ilvl w:val="0"/>
          <w:numId w:val="5"/>
        </w:numPr>
        <w:ind w:firstLineChars="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五类重点人群中医养生指导</w:t>
      </w:r>
    </w:p>
    <w:p>
      <w:pPr>
        <w:pStyle w:val="10"/>
        <w:numPr>
          <w:ilvl w:val="0"/>
          <w:numId w:val="6"/>
        </w:numPr>
        <w:ind w:firstLineChars="0"/>
        <w:jc w:val="left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可提供老年人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、孕妇、儿童、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高血压病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、糖尿病五类重点人群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中医养生及干预指导方案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Style w:val="10"/>
        <w:numPr>
          <w:ilvl w:val="0"/>
          <w:numId w:val="6"/>
        </w:numPr>
        <w:ind w:firstLineChars="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养生及干预指导方案具有中医饮食调养、中医起居养生、中医运动养生、中医情志养生、中医特色保健法、高血压病的科普知识问答篇等内容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Style w:val="10"/>
        <w:numPr>
          <w:ilvl w:val="0"/>
          <w:numId w:val="5"/>
        </w:numPr>
        <w:ind w:firstLineChars="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中医体质养生与个人健康管理专家讲解视频</w:t>
      </w:r>
    </w:p>
    <w:p>
      <w:pPr>
        <w:pStyle w:val="10"/>
        <w:numPr>
          <w:ilvl w:val="0"/>
          <w:numId w:val="7"/>
        </w:numPr>
        <w:ind w:firstLineChars="0"/>
        <w:jc w:val="left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支持文字及视频两种宣教方式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Style w:val="10"/>
        <w:numPr>
          <w:ilvl w:val="0"/>
          <w:numId w:val="7"/>
        </w:numPr>
        <w:ind w:firstLineChars="0"/>
        <w:jc w:val="left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提供中医9种体质解说及四季养生方法，养生方案具有中医饮食调养、中医起居养生、中医运动养生、中医情志养生、中医特色保健法、疫情中医防护方法等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Style w:val="10"/>
        <w:numPr>
          <w:ilvl w:val="0"/>
          <w:numId w:val="5"/>
        </w:numPr>
        <w:ind w:firstLineChars="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新华网中医名家慢病养生视频</w:t>
      </w:r>
    </w:p>
    <w:p>
      <w:pPr>
        <w:pStyle w:val="10"/>
        <w:numPr>
          <w:ilvl w:val="0"/>
          <w:numId w:val="8"/>
        </w:numPr>
        <w:ind w:firstLineChars="0"/>
        <w:jc w:val="left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支持中医视频科普宣教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Style w:val="10"/>
        <w:numPr>
          <w:ilvl w:val="0"/>
          <w:numId w:val="8"/>
        </w:numPr>
        <w:ind w:firstLineChars="0"/>
        <w:jc w:val="left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中医名家讲解慢病调理养生课程内容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；</w:t>
      </w:r>
    </w:p>
    <w:p>
      <w:pPr>
        <w:pStyle w:val="10"/>
        <w:numPr>
          <w:ilvl w:val="0"/>
          <w:numId w:val="5"/>
        </w:numPr>
        <w:ind w:firstLineChars="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 w:eastAsia="宋体" w:cs="等线"/>
          <w:b/>
          <w:color w:val="auto"/>
          <w:sz w:val="24"/>
          <w:szCs w:val="24"/>
          <w:highlight w:val="none"/>
        </w:rPr>
        <w:t>儿童中医体质调养专家讲解视频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等线"/>
          <w:color w:val="auto"/>
          <w:sz w:val="24"/>
          <w:szCs w:val="24"/>
          <w:highlight w:val="none"/>
        </w:rPr>
        <w:t>中医专家对于儿童体质调养方法讲解课程内容；</w:t>
      </w:r>
    </w:p>
    <w:p>
      <w:pPr>
        <w:pStyle w:val="10"/>
        <w:numPr>
          <w:ilvl w:val="0"/>
          <w:numId w:val="5"/>
        </w:numPr>
        <w:ind w:firstLineChars="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等线"/>
          <w:b/>
          <w:color w:val="auto"/>
          <w:sz w:val="24"/>
          <w:szCs w:val="24"/>
          <w:highlight w:val="none"/>
        </w:rPr>
        <w:t>小儿推拿居家应用专家指导视频</w:t>
      </w:r>
    </w:p>
    <w:p>
      <w:pPr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等线"/>
          <w:color w:val="auto"/>
          <w:sz w:val="24"/>
          <w:szCs w:val="24"/>
          <w:highlight w:val="none"/>
        </w:rPr>
        <w:t>适用于儿童的中医体质推拿方法、儿童穴位知识专家课程讲解内容；</w:t>
      </w:r>
    </w:p>
    <w:p>
      <w:pPr>
        <w:pStyle w:val="10"/>
        <w:numPr>
          <w:ilvl w:val="0"/>
          <w:numId w:val="5"/>
        </w:numPr>
        <w:ind w:firstLineChars="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等线"/>
          <w:b/>
          <w:color w:val="auto"/>
          <w:sz w:val="24"/>
          <w:szCs w:val="24"/>
          <w:highlight w:val="none"/>
        </w:rPr>
        <w:t>72候（节气）中医养生知识库</w:t>
      </w:r>
    </w:p>
    <w:p>
      <w:pPr>
        <w:rPr>
          <w:rFonts w:hint="eastAsia" w:ascii="宋体" w:hAnsi="宋体" w:eastAsia="宋体" w:cs="等线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等线"/>
          <w:color w:val="auto"/>
          <w:sz w:val="24"/>
          <w:szCs w:val="24"/>
          <w:highlight w:val="none"/>
        </w:rPr>
        <w:t>与72候节气相匹配的天人合一中医养生方法建议；</w:t>
      </w:r>
    </w:p>
    <w:p>
      <w:pP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8、网络</w:t>
      </w:r>
    </w:p>
    <w:p>
      <w:pPr>
        <w:numPr>
          <w:ilvl w:val="0"/>
          <w:numId w:val="0"/>
        </w:numPr>
        <w:rPr>
          <w:rFonts w:hint="default" w:ascii="宋体" w:hAnsi="宋体" w:eastAsia="宋体" w:cs="等线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等线"/>
          <w:color w:val="auto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 w:eastAsia="宋体" w:cs="等线"/>
          <w:color w:val="auto"/>
          <w:sz w:val="24"/>
          <w:szCs w:val="24"/>
          <w:highlight w:val="none"/>
        </w:rPr>
        <w:t>配置</w:t>
      </w:r>
      <w:r>
        <w:rPr>
          <w:rFonts w:hint="eastAsia" w:ascii="宋体" w:hAnsi="宋体" w:eastAsia="宋体" w:cs="等线"/>
          <w:color w:val="auto"/>
          <w:sz w:val="24"/>
          <w:szCs w:val="24"/>
          <w:highlight w:val="none"/>
          <w:lang w:val="en-US" w:eastAsia="zh-CN"/>
        </w:rPr>
        <w:t>开放</w:t>
      </w:r>
      <w:r>
        <w:rPr>
          <w:rFonts w:hint="eastAsia" w:ascii="宋体" w:hAnsi="宋体" w:eastAsia="宋体" w:cs="等线"/>
          <w:color w:val="auto"/>
          <w:sz w:val="24"/>
          <w:szCs w:val="24"/>
          <w:highlight w:val="none"/>
        </w:rPr>
        <w:t>标准网络接口，可与医院网络系统兼容</w:t>
      </w:r>
    </w:p>
    <w:p>
      <w:pPr>
        <w:rPr>
          <w:rFonts w:ascii="宋体" w:hAnsi="宋体" w:eastAsia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宋体" w:hAnsi="宋体" w:eastAsia="宋体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jc w:val="center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配置清单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74"/>
        <w:gridCol w:w="2003"/>
        <w:gridCol w:w="137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</w:rPr>
              <w:t>部件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中成药辅助辨证系统软件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与各系统接口对接服务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包括：微信点餐小程序、HIS、电子病历系统接口对接</w:t>
            </w:r>
          </w:p>
        </w:tc>
      </w:tr>
    </w:tbl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pStyle w:val="6"/>
        <w:ind w:left="0" w:leftChars="0" w:firstLine="0" w:firstLineChars="0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jc w:val="center"/>
        <w:rPr>
          <w:rFonts w:hint="default" w:ascii="宋体" w:hAnsi="宋体" w:eastAsia="宋体"/>
          <w:b/>
          <w:color w:val="auto"/>
          <w:sz w:val="36"/>
          <w:szCs w:val="28"/>
          <w:highlight w:val="none"/>
          <w:lang w:val="en-US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二、项目商务要求</w:t>
      </w:r>
    </w:p>
    <w:p>
      <w:pPr>
        <w:pStyle w:val="6"/>
        <w:rPr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</w:rPr>
        <w:t>售后服务：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（1）本项目后续维护服务由成交供应商提供。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（2）维护期：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一年。成交供应商提供定期升级服务，保证更新及时性，使用户软件始终为最新版本。软件出现使用问题时，成交供应商应提供实时在线服务，24小时内响应，常规问题48小时内解决；如疑难问题，派工程师提供现场维修，服务费用包含在本项目的磋商报价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（3）故障响应及解决时间：供应商应当有可上门作检查及维修的工程技术人员，软件出现异常或故障时，自报障时起算，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24小时内响应，常规问题48小时内解决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；如疑难问题，派工程师提供现场服务。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（4）成交供应商应定期对系统的软件进行检测，发现故障，排除隐患，提出改进意见。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（5）成交供应商应高度重视检查过程中发现的异常情况，及时通知维护人员，查找原因，排除故障隐患。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（6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）系统所涉及到需求内的软件缺陷进行调试修复，比如程序出错、接口信息不显示等，及时安排人员进行排查并恢复正常，确保系统的稳定运行。对系统进行日常运行监控，及时处理运行故障，确保平台稳定运行，为数据对接工作提供稳定可靠的服务。</w:t>
      </w:r>
    </w:p>
    <w:p>
      <w:pPr>
        <w:pStyle w:val="6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2、交货期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/>
        </w:rPr>
        <w:t>交货期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合同签订生效后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个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/>
        </w:rPr>
        <w:t>日历日。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3、项目地点：江门市台山市台城环北大道80号（以合同签订为准）。</w:t>
      </w:r>
    </w:p>
    <w:p>
      <w:pPr>
        <w:pStyle w:val="6"/>
        <w:rPr>
          <w:rFonts w:hint="eastAsia"/>
          <w:color w:val="auto"/>
          <w:highlight w:val="none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hAnsi="宋体"/>
          <w:b w:val="0"/>
          <w:bCs w:val="0"/>
          <w:color w:val="auto"/>
          <w:sz w:val="24"/>
          <w:szCs w:val="24"/>
          <w:highlight w:val="none"/>
        </w:rPr>
        <w:t>、付款方式：</w:t>
      </w:r>
      <w:r>
        <w:rPr>
          <w:rFonts w:hint="eastAsia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分期付款</w:t>
      </w:r>
      <w:r>
        <w:rPr>
          <w:rFonts w:hint="eastAsia" w:hAnsi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10" w:firstLineChars="171"/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  <w:t>1期：合同签订后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5个工作日内付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  <w:t>支付合同总额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  <w:t>0%；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10" w:firstLineChars="171"/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  <w:t>2期：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货物安装调试完毕并验收合格后5个工作日内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  <w:t>支付合同总额的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  <w:t>0%。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10" w:firstLineChars="171"/>
        <w:rPr>
          <w:rFonts w:hint="default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3期：货物安装调试完毕并验收合格之日起1年后的5个工作日内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</w:rPr>
        <w:t>支付合同总额的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10%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5、法律责任：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不合格的货物或服务将被无条件退货，由此而产生的费用将由成交供应商负责。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由于提供不符合质量要求的货物或服务而使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台山市人民医院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增加的成本将由成交供应商补偿。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成交供应商应严格遵守响应时作出的承诺，优先保证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台山市人民医院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所需货物或服务的质量、数量和时间要求，确保货物或服务的保障。如因成交供应商原因，导致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台山市人民医院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损失的，供应商应给予赔偿。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03F38"/>
    <w:multiLevelType w:val="multilevel"/>
    <w:tmpl w:val="07503F3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B0831"/>
    <w:multiLevelType w:val="multilevel"/>
    <w:tmpl w:val="0BDB083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9B0A03"/>
    <w:multiLevelType w:val="multilevel"/>
    <w:tmpl w:val="159B0A03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C61509"/>
    <w:multiLevelType w:val="multilevel"/>
    <w:tmpl w:val="18C6150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F530D2"/>
    <w:multiLevelType w:val="multilevel"/>
    <w:tmpl w:val="40F530D2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D75FFC"/>
    <w:multiLevelType w:val="multilevel"/>
    <w:tmpl w:val="5CD75FFC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756AE4"/>
    <w:multiLevelType w:val="multilevel"/>
    <w:tmpl w:val="62756AE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3A0919"/>
    <w:multiLevelType w:val="multilevel"/>
    <w:tmpl w:val="6E3A091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mQ3NDdjN2RlOTJiNWUyMjFlY2RkMmE4NGVlNjcifQ=="/>
  </w:docVars>
  <w:rsids>
    <w:rsidRoot w:val="00000000"/>
    <w:rsid w:val="0B345EEF"/>
    <w:rsid w:val="21511205"/>
    <w:rsid w:val="22AE1CC5"/>
    <w:rsid w:val="25427843"/>
    <w:rsid w:val="55B07E54"/>
    <w:rsid w:val="76EB2A6C"/>
    <w:rsid w:val="784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lang w:val="zh-CN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华文新魏" w:eastAsia="华文新魏"/>
      <w:sz w:val="48"/>
      <w:szCs w:val="44"/>
    </w:rPr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/>
      <w:kern w:val="0"/>
      <w:sz w:val="28"/>
    </w:r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6">
    <w:name w:val="Body Text First Indent 2"/>
    <w:basedOn w:val="4"/>
    <w:next w:val="1"/>
    <w:qFormat/>
    <w:uiPriority w:val="0"/>
    <w:pPr>
      <w:autoSpaceDE/>
      <w:autoSpaceDN/>
      <w:adjustRightInd/>
      <w:snapToGrid w:val="0"/>
      <w:spacing w:line="360" w:lineRule="auto"/>
      <w:ind w:left="0" w:leftChars="0" w:firstLine="420" w:firstLineChars="200"/>
      <w:jc w:val="both"/>
    </w:pPr>
    <w:rPr>
      <w:rFonts w:ascii="Tahoma" w:hAnsi="Tahoma"/>
      <w:kern w:val="2"/>
      <w:sz w:val="28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2459</Words>
  <Characters>2498</Characters>
  <Lines>0</Lines>
  <Paragraphs>0</Paragraphs>
  <TotalTime>0</TotalTime>
  <ScaleCrop>false</ScaleCrop>
  <LinksUpToDate>false</LinksUpToDate>
  <CharactersWithSpaces>2507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2022-11-11T02:47:00Z</dcterms:created>
  <dc:creator>22671</dc:creator>
  <cp:lastModifiedBy>DCP</cp:lastModifiedBy>
  <dcterms:modified xsi:type="dcterms:W3CDTF">2022-11-25T06:44:16Z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4313B2FB032341F789C8FC3F2D15EA77</vt:lpwstr>
  </property>
</Properties>
</file>